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1B" w:rsidRPr="00A37E79" w:rsidRDefault="00AF501B" w:rsidP="00AF501B">
      <w:pPr>
        <w:jc w:val="center"/>
        <w:rPr>
          <w:b/>
          <w:bCs/>
        </w:rPr>
      </w:pPr>
      <w:r w:rsidRPr="00A37E79">
        <w:rPr>
          <w:b/>
        </w:rPr>
        <w:t xml:space="preserve">PHỤ LỤC DANH MỤC </w:t>
      </w:r>
      <w:r w:rsidRPr="00A37E79">
        <w:rPr>
          <w:b/>
          <w:bCs/>
        </w:rPr>
        <w:t xml:space="preserve">CÁC NHIỆM VỤ KHOA HỌC VÀ CÔNG NGHỆ CẤP TỔNG LIÊN ĐOÀN </w:t>
      </w:r>
    </w:p>
    <w:p w:rsidR="00AF501B" w:rsidRPr="00A37E79" w:rsidRDefault="00AF501B" w:rsidP="00AF501B">
      <w:pPr>
        <w:jc w:val="center"/>
        <w:rPr>
          <w:b/>
          <w:bCs/>
        </w:rPr>
      </w:pPr>
      <w:r w:rsidRPr="00A37E79">
        <w:rPr>
          <w:b/>
          <w:bCs/>
        </w:rPr>
        <w:t>ĐỀ XUẤT ĐẶT HÀNG ĐỂ TUYỂN CHỌN BẮT ĐẦU THỰC HIỆN TỪ NĂM 2019</w:t>
      </w:r>
    </w:p>
    <w:p w:rsidR="00AF501B" w:rsidRPr="00A37E79" w:rsidRDefault="00AF501B" w:rsidP="00AF501B">
      <w:pPr>
        <w:jc w:val="center"/>
        <w:rPr>
          <w:i/>
        </w:rPr>
      </w:pPr>
      <w:r w:rsidRPr="00A37E79">
        <w:rPr>
          <w:i/>
        </w:rPr>
        <w:t>(Kèm theo Quyết định số           /QĐ-TLĐ ngày        tháng      năm 2018)</w:t>
      </w:r>
    </w:p>
    <w:p w:rsidR="00AF501B" w:rsidRPr="0044750A" w:rsidRDefault="00AF501B" w:rsidP="00AF501B">
      <w:pPr>
        <w:rPr>
          <w:color w:val="FF000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2615"/>
        <w:gridCol w:w="4110"/>
        <w:gridCol w:w="6096"/>
        <w:gridCol w:w="1417"/>
      </w:tblGrid>
      <w:tr w:rsidR="00AF501B" w:rsidRPr="004D2F71" w:rsidTr="00080433">
        <w:tc>
          <w:tcPr>
            <w:tcW w:w="646" w:type="dxa"/>
            <w:vAlign w:val="center"/>
          </w:tcPr>
          <w:p w:rsidR="00AF501B" w:rsidRPr="004D2F71" w:rsidRDefault="00AF501B" w:rsidP="00080433">
            <w:pPr>
              <w:spacing w:line="312" w:lineRule="auto"/>
              <w:jc w:val="center"/>
              <w:rPr>
                <w:b/>
                <w:bCs/>
                <w:iCs/>
                <w:sz w:val="24"/>
                <w:szCs w:val="24"/>
              </w:rPr>
            </w:pPr>
            <w:r w:rsidRPr="004D2F71">
              <w:rPr>
                <w:b/>
                <w:bCs/>
                <w:iCs/>
                <w:sz w:val="24"/>
                <w:szCs w:val="24"/>
              </w:rPr>
              <w:t>TT</w:t>
            </w:r>
          </w:p>
        </w:tc>
        <w:tc>
          <w:tcPr>
            <w:tcW w:w="2615" w:type="dxa"/>
            <w:vAlign w:val="center"/>
          </w:tcPr>
          <w:p w:rsidR="00AF501B" w:rsidRPr="004D2F71" w:rsidRDefault="00AF501B" w:rsidP="00080433">
            <w:pPr>
              <w:spacing w:line="312" w:lineRule="auto"/>
              <w:jc w:val="center"/>
              <w:rPr>
                <w:b/>
                <w:bCs/>
                <w:iCs/>
                <w:sz w:val="24"/>
                <w:szCs w:val="24"/>
              </w:rPr>
            </w:pPr>
            <w:r w:rsidRPr="004D2F71">
              <w:rPr>
                <w:b/>
                <w:bCs/>
                <w:iCs/>
                <w:sz w:val="24"/>
                <w:szCs w:val="24"/>
              </w:rPr>
              <w:t>Tên nhiệm vụ đề xuất đặt hàng</w:t>
            </w:r>
          </w:p>
        </w:tc>
        <w:tc>
          <w:tcPr>
            <w:tcW w:w="4110" w:type="dxa"/>
            <w:vAlign w:val="center"/>
          </w:tcPr>
          <w:p w:rsidR="00AF501B" w:rsidRPr="004D2F71" w:rsidRDefault="00AF501B" w:rsidP="00080433">
            <w:pPr>
              <w:spacing w:line="312" w:lineRule="auto"/>
              <w:jc w:val="center"/>
              <w:rPr>
                <w:b/>
                <w:bCs/>
                <w:iCs/>
                <w:sz w:val="24"/>
                <w:szCs w:val="24"/>
              </w:rPr>
            </w:pPr>
            <w:r w:rsidRPr="004D2F71">
              <w:rPr>
                <w:b/>
                <w:bCs/>
                <w:iCs/>
                <w:sz w:val="24"/>
                <w:szCs w:val="24"/>
              </w:rPr>
              <w:t>Định hướng mục tiêu</w:t>
            </w:r>
          </w:p>
        </w:tc>
        <w:tc>
          <w:tcPr>
            <w:tcW w:w="6096" w:type="dxa"/>
            <w:vAlign w:val="center"/>
          </w:tcPr>
          <w:p w:rsidR="00AF501B" w:rsidRPr="004D2F71" w:rsidRDefault="00AF501B" w:rsidP="00080433">
            <w:pPr>
              <w:spacing w:line="312" w:lineRule="auto"/>
              <w:jc w:val="center"/>
              <w:rPr>
                <w:b/>
                <w:bCs/>
                <w:iCs/>
                <w:sz w:val="24"/>
                <w:szCs w:val="24"/>
              </w:rPr>
            </w:pPr>
            <w:r w:rsidRPr="004D2F71">
              <w:rPr>
                <w:b/>
                <w:bCs/>
                <w:iCs/>
                <w:sz w:val="24"/>
                <w:szCs w:val="24"/>
              </w:rPr>
              <w:t>Yêu cầu đối với kết quả*</w:t>
            </w:r>
          </w:p>
        </w:tc>
        <w:tc>
          <w:tcPr>
            <w:tcW w:w="1417" w:type="dxa"/>
            <w:vAlign w:val="center"/>
          </w:tcPr>
          <w:p w:rsidR="00AF501B" w:rsidRPr="004D2F71" w:rsidRDefault="00AF501B" w:rsidP="00080433">
            <w:pPr>
              <w:spacing w:line="312" w:lineRule="auto"/>
              <w:jc w:val="center"/>
              <w:rPr>
                <w:b/>
                <w:bCs/>
                <w:iCs/>
                <w:sz w:val="24"/>
                <w:szCs w:val="24"/>
              </w:rPr>
            </w:pPr>
            <w:r w:rsidRPr="004D2F71">
              <w:rPr>
                <w:b/>
                <w:bCs/>
                <w:iCs/>
                <w:sz w:val="24"/>
                <w:szCs w:val="24"/>
              </w:rPr>
              <w:t>Thời gian thực hiện</w:t>
            </w:r>
          </w:p>
        </w:tc>
      </w:tr>
      <w:tr w:rsidR="00AF501B" w:rsidRPr="004D2F71" w:rsidTr="00080433">
        <w:tc>
          <w:tcPr>
            <w:tcW w:w="646" w:type="dxa"/>
          </w:tcPr>
          <w:p w:rsidR="00AF501B" w:rsidRPr="004D2F71" w:rsidRDefault="00AF501B" w:rsidP="00080433">
            <w:pPr>
              <w:spacing w:line="312" w:lineRule="auto"/>
              <w:jc w:val="center"/>
              <w:rPr>
                <w:bCs/>
                <w:i/>
                <w:sz w:val="24"/>
                <w:szCs w:val="24"/>
              </w:rPr>
            </w:pPr>
            <w:r w:rsidRPr="004D2F71">
              <w:rPr>
                <w:bCs/>
                <w:i/>
                <w:sz w:val="24"/>
                <w:szCs w:val="24"/>
              </w:rPr>
              <w:t>1</w:t>
            </w:r>
          </w:p>
        </w:tc>
        <w:tc>
          <w:tcPr>
            <w:tcW w:w="2615" w:type="dxa"/>
          </w:tcPr>
          <w:p w:rsidR="00AF501B" w:rsidRPr="004D2F71" w:rsidRDefault="00AF501B" w:rsidP="00080433">
            <w:pPr>
              <w:spacing w:line="312" w:lineRule="auto"/>
              <w:jc w:val="center"/>
              <w:rPr>
                <w:bCs/>
                <w:i/>
                <w:sz w:val="24"/>
                <w:szCs w:val="24"/>
              </w:rPr>
            </w:pPr>
            <w:r w:rsidRPr="004D2F71">
              <w:rPr>
                <w:bCs/>
                <w:i/>
                <w:sz w:val="24"/>
                <w:szCs w:val="24"/>
              </w:rPr>
              <w:t>2</w:t>
            </w:r>
          </w:p>
        </w:tc>
        <w:tc>
          <w:tcPr>
            <w:tcW w:w="4110" w:type="dxa"/>
          </w:tcPr>
          <w:p w:rsidR="00AF501B" w:rsidRPr="004D2F71" w:rsidRDefault="00AF501B" w:rsidP="00080433">
            <w:pPr>
              <w:spacing w:line="312" w:lineRule="auto"/>
              <w:jc w:val="center"/>
              <w:rPr>
                <w:bCs/>
                <w:i/>
                <w:sz w:val="24"/>
                <w:szCs w:val="24"/>
              </w:rPr>
            </w:pPr>
            <w:r w:rsidRPr="004D2F71">
              <w:rPr>
                <w:bCs/>
                <w:i/>
                <w:sz w:val="24"/>
                <w:szCs w:val="24"/>
              </w:rPr>
              <w:t>3</w:t>
            </w:r>
          </w:p>
        </w:tc>
        <w:tc>
          <w:tcPr>
            <w:tcW w:w="6096" w:type="dxa"/>
          </w:tcPr>
          <w:p w:rsidR="00AF501B" w:rsidRPr="004D2F71" w:rsidRDefault="00AF501B" w:rsidP="00080433">
            <w:pPr>
              <w:spacing w:line="312" w:lineRule="auto"/>
              <w:jc w:val="center"/>
              <w:rPr>
                <w:bCs/>
                <w:i/>
                <w:sz w:val="24"/>
                <w:szCs w:val="24"/>
              </w:rPr>
            </w:pPr>
            <w:r w:rsidRPr="004D2F71">
              <w:rPr>
                <w:bCs/>
                <w:i/>
                <w:sz w:val="24"/>
                <w:szCs w:val="24"/>
              </w:rPr>
              <w:t>4</w:t>
            </w:r>
          </w:p>
        </w:tc>
        <w:tc>
          <w:tcPr>
            <w:tcW w:w="1417" w:type="dxa"/>
          </w:tcPr>
          <w:p w:rsidR="00AF501B" w:rsidRPr="004D2F71" w:rsidRDefault="00AF501B" w:rsidP="00080433">
            <w:pPr>
              <w:spacing w:line="312" w:lineRule="auto"/>
              <w:jc w:val="center"/>
              <w:rPr>
                <w:bCs/>
                <w:i/>
                <w:sz w:val="24"/>
                <w:szCs w:val="24"/>
              </w:rPr>
            </w:pPr>
            <w:r w:rsidRPr="004D2F71">
              <w:rPr>
                <w:bCs/>
                <w:i/>
                <w:sz w:val="24"/>
                <w:szCs w:val="24"/>
              </w:rPr>
              <w:t>5</w:t>
            </w:r>
          </w:p>
        </w:tc>
      </w:tr>
      <w:tr w:rsidR="00AF501B" w:rsidRPr="004D2F71" w:rsidTr="00080433">
        <w:tc>
          <w:tcPr>
            <w:tcW w:w="646" w:type="dxa"/>
          </w:tcPr>
          <w:p w:rsidR="00AF501B" w:rsidRPr="008531DF" w:rsidRDefault="00AF501B" w:rsidP="00080433">
            <w:pPr>
              <w:spacing w:line="312" w:lineRule="auto"/>
              <w:jc w:val="center"/>
              <w:rPr>
                <w:color w:val="0000CC"/>
                <w:sz w:val="24"/>
                <w:szCs w:val="24"/>
              </w:rPr>
            </w:pPr>
            <w:r w:rsidRPr="008531DF">
              <w:rPr>
                <w:color w:val="0000CC"/>
                <w:sz w:val="24"/>
                <w:szCs w:val="24"/>
              </w:rPr>
              <w:t>1</w:t>
            </w:r>
          </w:p>
        </w:tc>
        <w:tc>
          <w:tcPr>
            <w:tcW w:w="2615" w:type="dxa"/>
          </w:tcPr>
          <w:p w:rsidR="00AF501B" w:rsidRPr="008531DF" w:rsidRDefault="00AF501B" w:rsidP="00080433">
            <w:pPr>
              <w:tabs>
                <w:tab w:val="left" w:pos="270"/>
              </w:tabs>
              <w:spacing w:line="312" w:lineRule="auto"/>
              <w:jc w:val="both"/>
              <w:rPr>
                <w:bCs/>
                <w:color w:val="0000CC"/>
                <w:sz w:val="24"/>
                <w:szCs w:val="24"/>
                <w:lang w:val="pt-BR"/>
              </w:rPr>
            </w:pPr>
            <w:r w:rsidRPr="008531DF">
              <w:rPr>
                <w:bCs/>
                <w:color w:val="0000CC"/>
                <w:sz w:val="24"/>
                <w:szCs w:val="24"/>
                <w:lang w:val="pt-BR"/>
              </w:rPr>
              <w:t xml:space="preserve">Nghiên cứu </w:t>
            </w:r>
            <w:r w:rsidR="008531DF" w:rsidRPr="008531DF">
              <w:rPr>
                <w:bCs/>
                <w:color w:val="0000CC"/>
                <w:sz w:val="24"/>
                <w:szCs w:val="24"/>
                <w:lang w:val="pt-BR"/>
              </w:rPr>
              <w:t>xây dựng và áp dụng thử hệ thống quản lý an toàn vệ sinh lao động (ATVSLĐ) theo tiêu chuẩn ISO 45001:2018 cho các cơ sở sản xuất giày da</w:t>
            </w:r>
            <w:r w:rsidRPr="008531DF">
              <w:rPr>
                <w:bCs/>
                <w:color w:val="0000CC"/>
                <w:sz w:val="24"/>
                <w:szCs w:val="24"/>
                <w:lang w:val="pt-BR"/>
              </w:rPr>
              <w:t xml:space="preserve"> </w:t>
            </w:r>
          </w:p>
          <w:p w:rsidR="00AF501B" w:rsidRPr="008531DF" w:rsidRDefault="00AF501B" w:rsidP="00080433">
            <w:pPr>
              <w:tabs>
                <w:tab w:val="left" w:pos="270"/>
              </w:tabs>
              <w:spacing w:line="312" w:lineRule="auto"/>
              <w:jc w:val="both"/>
              <w:rPr>
                <w:b/>
                <w:bCs/>
                <w:i/>
                <w:color w:val="0000CC"/>
                <w:sz w:val="24"/>
                <w:szCs w:val="24"/>
                <w:lang w:val="it-IT"/>
              </w:rPr>
            </w:pPr>
          </w:p>
        </w:tc>
        <w:tc>
          <w:tcPr>
            <w:tcW w:w="4110" w:type="dxa"/>
          </w:tcPr>
          <w:p w:rsidR="00AF501B" w:rsidRPr="008531DF" w:rsidRDefault="00AF501B" w:rsidP="00080433">
            <w:pPr>
              <w:spacing w:line="312" w:lineRule="auto"/>
              <w:jc w:val="both"/>
              <w:rPr>
                <w:color w:val="0000CC"/>
                <w:sz w:val="24"/>
                <w:szCs w:val="24"/>
              </w:rPr>
            </w:pPr>
            <w:r w:rsidRPr="008531DF">
              <w:rPr>
                <w:color w:val="0000CC"/>
                <w:sz w:val="24"/>
                <w:szCs w:val="24"/>
              </w:rPr>
              <w:t>(1) Xây dựng được kỹ thuật đánh giá rủi ro ATVSLĐ trong các cơ sở sản xuất giày da.</w:t>
            </w:r>
          </w:p>
          <w:p w:rsidR="00AF501B" w:rsidRPr="008531DF" w:rsidRDefault="00AF501B" w:rsidP="008531DF">
            <w:pPr>
              <w:spacing w:line="312" w:lineRule="auto"/>
              <w:jc w:val="both"/>
              <w:rPr>
                <w:bCs/>
                <w:color w:val="0000CC"/>
                <w:sz w:val="24"/>
                <w:szCs w:val="24"/>
                <w:lang w:val="it-IT"/>
              </w:rPr>
            </w:pPr>
            <w:r w:rsidRPr="008531DF">
              <w:rPr>
                <w:color w:val="0000CC"/>
                <w:sz w:val="24"/>
                <w:szCs w:val="24"/>
              </w:rPr>
              <w:t xml:space="preserve">(2) Xây dựng </w:t>
            </w:r>
            <w:r w:rsidR="008531DF" w:rsidRPr="008531DF">
              <w:rPr>
                <w:color w:val="0000CC"/>
                <w:sz w:val="24"/>
                <w:szCs w:val="24"/>
              </w:rPr>
              <w:t xml:space="preserve">mô hình và áp dụng thử hệ thống quản </w:t>
            </w:r>
            <w:r w:rsidRPr="008531DF">
              <w:rPr>
                <w:color w:val="0000CC"/>
                <w:sz w:val="24"/>
                <w:szCs w:val="24"/>
              </w:rPr>
              <w:t xml:space="preserve">lý ATVSLĐ theo </w:t>
            </w:r>
            <w:r w:rsidR="008531DF" w:rsidRPr="008531DF">
              <w:rPr>
                <w:color w:val="0000CC"/>
                <w:sz w:val="24"/>
                <w:szCs w:val="24"/>
              </w:rPr>
              <w:t xml:space="preserve">tiêu chuẩn </w:t>
            </w:r>
            <w:r w:rsidRPr="008531DF">
              <w:rPr>
                <w:color w:val="0000CC"/>
                <w:sz w:val="24"/>
                <w:szCs w:val="24"/>
              </w:rPr>
              <w:t>ISO 45001:2018 tại 02 cơ sở sản xuất giày da.</w:t>
            </w:r>
          </w:p>
        </w:tc>
        <w:tc>
          <w:tcPr>
            <w:tcW w:w="6096" w:type="dxa"/>
          </w:tcPr>
          <w:p w:rsidR="00AF501B" w:rsidRPr="008531DF" w:rsidRDefault="00AF501B" w:rsidP="00080433">
            <w:pPr>
              <w:tabs>
                <w:tab w:val="left" w:leader="dot" w:pos="9360"/>
              </w:tabs>
              <w:spacing w:line="312" w:lineRule="auto"/>
              <w:jc w:val="both"/>
              <w:rPr>
                <w:color w:val="0000CC"/>
                <w:sz w:val="24"/>
                <w:szCs w:val="24"/>
              </w:rPr>
            </w:pPr>
            <w:r w:rsidRPr="008531DF">
              <w:rPr>
                <w:color w:val="0000CC"/>
                <w:sz w:val="24"/>
                <w:szCs w:val="24"/>
              </w:rPr>
              <w:t xml:space="preserve">(1) </w:t>
            </w:r>
            <w:r w:rsidR="008531DF" w:rsidRPr="008531DF">
              <w:rPr>
                <w:color w:val="0000CC"/>
                <w:sz w:val="24"/>
                <w:szCs w:val="24"/>
              </w:rPr>
              <w:t>Cơ sở dữ liệu nhận diện mối nguy</w:t>
            </w:r>
            <w:r w:rsidRPr="008531DF">
              <w:rPr>
                <w:color w:val="0000CC"/>
                <w:sz w:val="24"/>
                <w:szCs w:val="24"/>
              </w:rPr>
              <w:t xml:space="preserve"> ATVSLĐ </w:t>
            </w:r>
            <w:r w:rsidRPr="008531DF">
              <w:rPr>
                <w:bCs/>
                <w:color w:val="0000CC"/>
                <w:sz w:val="24"/>
                <w:szCs w:val="24"/>
              </w:rPr>
              <w:t>trong các cơ sở sản xuất giày da</w:t>
            </w:r>
            <w:r w:rsidRPr="008531DF">
              <w:rPr>
                <w:color w:val="0000CC"/>
                <w:sz w:val="24"/>
                <w:szCs w:val="24"/>
              </w:rPr>
              <w:t>.</w:t>
            </w:r>
          </w:p>
          <w:p w:rsidR="00AF501B" w:rsidRPr="008531DF" w:rsidRDefault="00AF501B" w:rsidP="00080433">
            <w:pPr>
              <w:tabs>
                <w:tab w:val="left" w:leader="dot" w:pos="9360"/>
              </w:tabs>
              <w:spacing w:line="312" w:lineRule="auto"/>
              <w:jc w:val="both"/>
              <w:rPr>
                <w:color w:val="0000CC"/>
                <w:sz w:val="24"/>
                <w:szCs w:val="24"/>
              </w:rPr>
            </w:pPr>
            <w:r w:rsidRPr="008531DF">
              <w:rPr>
                <w:color w:val="0000CC"/>
                <w:sz w:val="24"/>
                <w:szCs w:val="24"/>
              </w:rPr>
              <w:t xml:space="preserve">(2) </w:t>
            </w:r>
            <w:r w:rsidR="008531DF" w:rsidRPr="008531DF">
              <w:rPr>
                <w:color w:val="0000CC"/>
                <w:sz w:val="24"/>
                <w:szCs w:val="24"/>
              </w:rPr>
              <w:t>Tài liệu hướng dẫn kỹ thuật nhận diện mối nguy, rủi ro ATVSLĐ và báo cáo đánh giá rủi ro</w:t>
            </w:r>
            <w:r w:rsidRPr="008531DF">
              <w:rPr>
                <w:color w:val="0000CC"/>
                <w:sz w:val="24"/>
                <w:szCs w:val="24"/>
              </w:rPr>
              <w:t>.</w:t>
            </w:r>
          </w:p>
          <w:p w:rsidR="00AF501B" w:rsidRPr="008531DF" w:rsidRDefault="00AF501B" w:rsidP="00080433">
            <w:pPr>
              <w:widowControl w:val="0"/>
              <w:spacing w:line="312" w:lineRule="auto"/>
              <w:jc w:val="both"/>
              <w:rPr>
                <w:noProof/>
                <w:color w:val="0000CC"/>
                <w:sz w:val="24"/>
                <w:szCs w:val="24"/>
              </w:rPr>
            </w:pPr>
            <w:r w:rsidRPr="008531DF">
              <w:rPr>
                <w:color w:val="0000CC"/>
                <w:sz w:val="24"/>
                <w:szCs w:val="24"/>
              </w:rPr>
              <w:t xml:space="preserve">(3) </w:t>
            </w:r>
            <w:r w:rsidR="008531DF" w:rsidRPr="008531DF">
              <w:rPr>
                <w:color w:val="0000CC"/>
                <w:sz w:val="24"/>
                <w:szCs w:val="24"/>
              </w:rPr>
              <w:t>Bộ tài liệu về</w:t>
            </w:r>
            <w:r w:rsidRPr="008531DF">
              <w:rPr>
                <w:color w:val="0000CC"/>
                <w:sz w:val="24"/>
                <w:szCs w:val="24"/>
              </w:rPr>
              <w:t xml:space="preserve"> </w:t>
            </w:r>
            <w:r w:rsidR="008531DF" w:rsidRPr="008531DF">
              <w:rPr>
                <w:color w:val="0000CC"/>
                <w:sz w:val="24"/>
                <w:szCs w:val="24"/>
              </w:rPr>
              <w:t xml:space="preserve">hướng dẫn áp dụng </w:t>
            </w:r>
            <w:r w:rsidRPr="008531DF">
              <w:rPr>
                <w:color w:val="0000CC"/>
                <w:sz w:val="24"/>
                <w:szCs w:val="24"/>
              </w:rPr>
              <w:t>hệ thống quản lý ATVSLĐ theo tiêu chuẩn ISO 45001:2018</w:t>
            </w:r>
            <w:r w:rsidR="008531DF" w:rsidRPr="008531DF">
              <w:rPr>
                <w:color w:val="0000CC"/>
                <w:sz w:val="24"/>
                <w:szCs w:val="24"/>
              </w:rPr>
              <w:t xml:space="preserve"> </w:t>
            </w:r>
            <w:r w:rsidR="008531DF" w:rsidRPr="008531DF">
              <w:rPr>
                <w:bCs/>
                <w:color w:val="0000CC"/>
                <w:sz w:val="24"/>
                <w:szCs w:val="24"/>
              </w:rPr>
              <w:t>trong các cơ sở sản xuất giày da</w:t>
            </w:r>
            <w:r w:rsidRPr="008531DF">
              <w:rPr>
                <w:color w:val="0000CC"/>
                <w:sz w:val="24"/>
                <w:szCs w:val="24"/>
              </w:rPr>
              <w:t>.</w:t>
            </w:r>
            <w:r w:rsidRPr="008531DF">
              <w:rPr>
                <w:noProof/>
                <w:color w:val="0000CC"/>
                <w:sz w:val="24"/>
                <w:szCs w:val="24"/>
              </w:rPr>
              <w:t xml:space="preserve"> </w:t>
            </w:r>
          </w:p>
          <w:p w:rsidR="00AF501B" w:rsidRPr="008531DF" w:rsidRDefault="00AF501B" w:rsidP="008531DF">
            <w:pPr>
              <w:widowControl w:val="0"/>
              <w:spacing w:line="312" w:lineRule="auto"/>
              <w:jc w:val="both"/>
              <w:rPr>
                <w:noProof/>
                <w:color w:val="0000CC"/>
                <w:sz w:val="24"/>
                <w:szCs w:val="24"/>
              </w:rPr>
            </w:pPr>
            <w:r w:rsidRPr="008531DF">
              <w:rPr>
                <w:noProof/>
                <w:color w:val="0000CC"/>
                <w:sz w:val="24"/>
                <w:szCs w:val="24"/>
              </w:rPr>
              <w:t>(</w:t>
            </w:r>
            <w:r w:rsidRPr="008531DF">
              <w:rPr>
                <w:noProof/>
                <w:color w:val="0000CC"/>
                <w:sz w:val="24"/>
                <w:szCs w:val="24"/>
                <w:lang w:val="vi-VN"/>
              </w:rPr>
              <w:t>4</w:t>
            </w:r>
            <w:r w:rsidRPr="008531DF">
              <w:rPr>
                <w:noProof/>
                <w:color w:val="0000CC"/>
                <w:sz w:val="24"/>
                <w:szCs w:val="24"/>
              </w:rPr>
              <w:t>)</w:t>
            </w:r>
            <w:r w:rsidRPr="008531DF">
              <w:rPr>
                <w:noProof/>
                <w:color w:val="0000CC"/>
                <w:sz w:val="24"/>
                <w:szCs w:val="24"/>
                <w:lang w:val="vi-VN"/>
              </w:rPr>
              <w:t xml:space="preserve">. </w:t>
            </w:r>
            <w:r w:rsidR="008531DF" w:rsidRPr="008531DF">
              <w:rPr>
                <w:noProof/>
                <w:color w:val="0000CC"/>
                <w:sz w:val="24"/>
                <w:szCs w:val="24"/>
              </w:rPr>
              <w:t xml:space="preserve">Báo cáo đánh giá kết quả áp dụng mô hình </w:t>
            </w:r>
            <w:r w:rsidR="008531DF" w:rsidRPr="008531DF">
              <w:rPr>
                <w:color w:val="0000CC"/>
                <w:sz w:val="24"/>
                <w:szCs w:val="24"/>
              </w:rPr>
              <w:t>hệ thống quản lý ATVSLĐ theo tiêu chuẩn ISO 45001:2018 tại 02 cơ sở sản xuất giày da</w:t>
            </w:r>
            <w:r w:rsidRPr="008531DF">
              <w:rPr>
                <w:noProof/>
                <w:color w:val="0000CC"/>
                <w:sz w:val="24"/>
                <w:szCs w:val="24"/>
              </w:rPr>
              <w:t>.</w:t>
            </w:r>
          </w:p>
        </w:tc>
        <w:tc>
          <w:tcPr>
            <w:tcW w:w="1417" w:type="dxa"/>
          </w:tcPr>
          <w:p w:rsidR="00AF501B" w:rsidRPr="008531DF" w:rsidRDefault="00AF501B" w:rsidP="00080433">
            <w:pPr>
              <w:spacing w:line="312" w:lineRule="auto"/>
              <w:jc w:val="center"/>
              <w:rPr>
                <w:color w:val="0000CC"/>
                <w:sz w:val="24"/>
                <w:szCs w:val="24"/>
              </w:rPr>
            </w:pPr>
            <w:r w:rsidRPr="008531DF">
              <w:rPr>
                <w:color w:val="0000CC"/>
                <w:sz w:val="24"/>
                <w:szCs w:val="24"/>
              </w:rPr>
              <w:t>24 tháng</w:t>
            </w:r>
          </w:p>
        </w:tc>
      </w:tr>
      <w:tr w:rsidR="00AF501B" w:rsidRPr="004D2F71" w:rsidTr="00080433">
        <w:tc>
          <w:tcPr>
            <w:tcW w:w="646" w:type="dxa"/>
          </w:tcPr>
          <w:p w:rsidR="00AF501B" w:rsidRPr="00D538CE" w:rsidRDefault="00AF501B" w:rsidP="00080433">
            <w:pPr>
              <w:spacing w:line="312" w:lineRule="auto"/>
              <w:jc w:val="center"/>
              <w:rPr>
                <w:color w:val="0000CC"/>
                <w:sz w:val="24"/>
                <w:szCs w:val="24"/>
              </w:rPr>
            </w:pPr>
            <w:r w:rsidRPr="00D538CE">
              <w:rPr>
                <w:color w:val="0000CC"/>
                <w:sz w:val="24"/>
                <w:szCs w:val="24"/>
              </w:rPr>
              <w:t>2</w:t>
            </w:r>
          </w:p>
        </w:tc>
        <w:tc>
          <w:tcPr>
            <w:tcW w:w="2615" w:type="dxa"/>
          </w:tcPr>
          <w:p w:rsidR="00AF501B" w:rsidRPr="00D538CE" w:rsidRDefault="00AF501B" w:rsidP="00080433">
            <w:pPr>
              <w:spacing w:line="312" w:lineRule="auto"/>
              <w:jc w:val="both"/>
              <w:rPr>
                <w:color w:val="0000CC"/>
                <w:sz w:val="24"/>
                <w:szCs w:val="24"/>
              </w:rPr>
            </w:pPr>
            <w:r w:rsidRPr="00D538CE">
              <w:rPr>
                <w:color w:val="0000CC"/>
                <w:sz w:val="24"/>
                <w:szCs w:val="24"/>
              </w:rPr>
              <w:t xml:space="preserve">Nghiên cứu </w:t>
            </w:r>
            <w:r w:rsidR="00D538CE" w:rsidRPr="00D538CE">
              <w:rPr>
                <w:color w:val="0000CC"/>
                <w:sz w:val="24"/>
                <w:szCs w:val="24"/>
              </w:rPr>
              <w:t>xây dựng tiêu chuẩn về quần áo bảo hộ lao động phổ thông cho nam và nữ</w:t>
            </w:r>
          </w:p>
          <w:p w:rsidR="00AF501B" w:rsidRPr="00D538CE" w:rsidRDefault="00AF501B" w:rsidP="00080433">
            <w:pPr>
              <w:tabs>
                <w:tab w:val="left" w:pos="270"/>
              </w:tabs>
              <w:spacing w:line="312" w:lineRule="auto"/>
              <w:jc w:val="both"/>
              <w:rPr>
                <w:bCs/>
                <w:color w:val="0000CC"/>
                <w:sz w:val="24"/>
                <w:szCs w:val="24"/>
                <w:lang w:val="it-IT"/>
              </w:rPr>
            </w:pPr>
            <w:r w:rsidRPr="00D538CE">
              <w:rPr>
                <w:b/>
                <w:i/>
                <w:color w:val="0000CC"/>
                <w:sz w:val="24"/>
                <w:szCs w:val="24"/>
                <w:lang w:val="fr-FR"/>
              </w:rPr>
              <w:t xml:space="preserve"> </w:t>
            </w:r>
          </w:p>
        </w:tc>
        <w:tc>
          <w:tcPr>
            <w:tcW w:w="4110" w:type="dxa"/>
          </w:tcPr>
          <w:p w:rsidR="00AF501B" w:rsidRPr="00D538CE" w:rsidRDefault="00AF501B" w:rsidP="00080433">
            <w:pPr>
              <w:spacing w:line="312" w:lineRule="auto"/>
              <w:jc w:val="both"/>
              <w:rPr>
                <w:color w:val="0000CC"/>
                <w:sz w:val="24"/>
                <w:szCs w:val="24"/>
              </w:rPr>
            </w:pPr>
            <w:r w:rsidRPr="00D538CE">
              <w:rPr>
                <w:color w:val="0000CC"/>
                <w:sz w:val="24"/>
                <w:szCs w:val="24"/>
              </w:rPr>
              <w:t xml:space="preserve">(1) Đề xuất được các yêu cầu kỹ thuật </w:t>
            </w:r>
            <w:r w:rsidR="00D538CE" w:rsidRPr="00D538CE">
              <w:rPr>
                <w:color w:val="0000CC"/>
                <w:sz w:val="24"/>
                <w:szCs w:val="24"/>
              </w:rPr>
              <w:t xml:space="preserve">đối với </w:t>
            </w:r>
            <w:r w:rsidRPr="00D538CE">
              <w:rPr>
                <w:color w:val="0000CC"/>
                <w:sz w:val="24"/>
                <w:szCs w:val="24"/>
              </w:rPr>
              <w:t>quần áo bảo hộ lao động phổ thông cho nam và nữ.</w:t>
            </w:r>
          </w:p>
          <w:p w:rsidR="00AF501B" w:rsidRPr="00D538CE" w:rsidRDefault="00AF501B" w:rsidP="00D538CE">
            <w:pPr>
              <w:spacing w:line="312" w:lineRule="auto"/>
              <w:jc w:val="both"/>
              <w:rPr>
                <w:color w:val="0000CC"/>
                <w:sz w:val="24"/>
                <w:szCs w:val="24"/>
              </w:rPr>
            </w:pPr>
            <w:r w:rsidRPr="00D538CE">
              <w:rPr>
                <w:color w:val="0000CC"/>
                <w:sz w:val="24"/>
                <w:szCs w:val="24"/>
              </w:rPr>
              <w:t>(</w:t>
            </w:r>
            <w:r w:rsidR="00D538CE" w:rsidRPr="00D538CE">
              <w:rPr>
                <w:color w:val="0000CC"/>
                <w:sz w:val="24"/>
                <w:szCs w:val="24"/>
              </w:rPr>
              <w:t>2) Ban hành</w:t>
            </w:r>
            <w:r w:rsidRPr="00D538CE">
              <w:rPr>
                <w:color w:val="0000CC"/>
                <w:sz w:val="24"/>
                <w:szCs w:val="24"/>
              </w:rPr>
              <w:t xml:space="preserve"> tiêu chuẩn quần áo bảo hộ lao động phổ thông cho nam và </w:t>
            </w:r>
            <w:r w:rsidR="00D538CE" w:rsidRPr="00D538CE">
              <w:rPr>
                <w:color w:val="0000CC"/>
                <w:sz w:val="24"/>
                <w:szCs w:val="24"/>
              </w:rPr>
              <w:t xml:space="preserve">quần áo bảo hộ lao động phổ thông cho </w:t>
            </w:r>
            <w:r w:rsidRPr="00D538CE">
              <w:rPr>
                <w:color w:val="0000CC"/>
                <w:sz w:val="24"/>
                <w:szCs w:val="24"/>
              </w:rPr>
              <w:t xml:space="preserve">nữ. </w:t>
            </w:r>
          </w:p>
        </w:tc>
        <w:tc>
          <w:tcPr>
            <w:tcW w:w="6096" w:type="dxa"/>
          </w:tcPr>
          <w:p w:rsidR="00AF501B" w:rsidRPr="00D538CE" w:rsidRDefault="00AF501B" w:rsidP="00080433">
            <w:pPr>
              <w:spacing w:line="312" w:lineRule="auto"/>
              <w:jc w:val="both"/>
              <w:rPr>
                <w:color w:val="0000CC"/>
                <w:sz w:val="24"/>
                <w:szCs w:val="24"/>
              </w:rPr>
            </w:pPr>
            <w:r w:rsidRPr="00D538CE">
              <w:rPr>
                <w:color w:val="0000CC"/>
                <w:sz w:val="24"/>
                <w:szCs w:val="24"/>
              </w:rPr>
              <w:t xml:space="preserve">(1) </w:t>
            </w:r>
            <w:r w:rsidR="00D538CE" w:rsidRPr="00D538CE">
              <w:rPr>
                <w:color w:val="0000CC"/>
                <w:sz w:val="24"/>
                <w:szCs w:val="24"/>
              </w:rPr>
              <w:t>Báo cáo các y</w:t>
            </w:r>
            <w:r w:rsidRPr="00D538CE">
              <w:rPr>
                <w:color w:val="0000CC"/>
                <w:sz w:val="24"/>
                <w:szCs w:val="24"/>
              </w:rPr>
              <w:t xml:space="preserve">êu cầu kỹ thuật quần áo BHLĐ phổ thông cho </w:t>
            </w:r>
            <w:r w:rsidR="00D538CE" w:rsidRPr="00D538CE">
              <w:rPr>
                <w:color w:val="0000CC"/>
                <w:sz w:val="24"/>
                <w:szCs w:val="24"/>
              </w:rPr>
              <w:t>lao động</w:t>
            </w:r>
            <w:r w:rsidRPr="00D538CE">
              <w:rPr>
                <w:color w:val="0000CC"/>
                <w:sz w:val="24"/>
                <w:szCs w:val="24"/>
              </w:rPr>
              <w:t xml:space="preserve"> nam và nữ.</w:t>
            </w:r>
          </w:p>
          <w:p w:rsidR="00AF501B" w:rsidRPr="00D538CE" w:rsidRDefault="00AF501B" w:rsidP="00D538CE">
            <w:pPr>
              <w:spacing w:line="312" w:lineRule="auto"/>
              <w:jc w:val="both"/>
              <w:rPr>
                <w:color w:val="0000CC"/>
                <w:sz w:val="24"/>
                <w:szCs w:val="24"/>
              </w:rPr>
            </w:pPr>
            <w:r w:rsidRPr="00D538CE">
              <w:rPr>
                <w:color w:val="0000CC"/>
                <w:sz w:val="24"/>
                <w:szCs w:val="24"/>
              </w:rPr>
              <w:t xml:space="preserve">(2) </w:t>
            </w:r>
            <w:r w:rsidR="00D538CE" w:rsidRPr="00D538CE">
              <w:rPr>
                <w:color w:val="0000CC"/>
                <w:sz w:val="24"/>
                <w:szCs w:val="24"/>
              </w:rPr>
              <w:t>2 tiêu chuẩn quần áo bảo hộ lao động phổ thông cho nam và quần áo bảo hộ lao động phổ thông cho nữ được Tổng cục Tiêu chuẩn đo lường chất lượng ban hành.</w:t>
            </w:r>
          </w:p>
          <w:p w:rsidR="00AF501B" w:rsidRPr="00D538CE" w:rsidRDefault="00AF501B" w:rsidP="00D538CE">
            <w:pPr>
              <w:spacing w:line="312" w:lineRule="auto"/>
              <w:jc w:val="both"/>
              <w:rPr>
                <w:color w:val="0000CC"/>
                <w:sz w:val="24"/>
                <w:szCs w:val="24"/>
              </w:rPr>
            </w:pPr>
            <w:r w:rsidRPr="00D538CE">
              <w:rPr>
                <w:color w:val="0000CC"/>
                <w:sz w:val="24"/>
                <w:szCs w:val="24"/>
              </w:rPr>
              <w:t xml:space="preserve"> </w:t>
            </w:r>
          </w:p>
        </w:tc>
        <w:tc>
          <w:tcPr>
            <w:tcW w:w="1417" w:type="dxa"/>
          </w:tcPr>
          <w:p w:rsidR="00AF501B" w:rsidRPr="00D538CE" w:rsidRDefault="00AF501B" w:rsidP="00080433">
            <w:pPr>
              <w:spacing w:line="312" w:lineRule="auto"/>
              <w:jc w:val="center"/>
              <w:rPr>
                <w:color w:val="0000CC"/>
                <w:sz w:val="24"/>
                <w:szCs w:val="24"/>
              </w:rPr>
            </w:pPr>
            <w:r w:rsidRPr="00D538CE">
              <w:rPr>
                <w:color w:val="0000CC"/>
                <w:sz w:val="24"/>
                <w:szCs w:val="24"/>
              </w:rPr>
              <w:t>24 tháng</w:t>
            </w:r>
          </w:p>
        </w:tc>
      </w:tr>
      <w:tr w:rsidR="00986F6C" w:rsidRPr="004D2F71" w:rsidTr="00080433">
        <w:tc>
          <w:tcPr>
            <w:tcW w:w="646" w:type="dxa"/>
          </w:tcPr>
          <w:p w:rsidR="00986F6C" w:rsidRPr="004D2F71" w:rsidRDefault="00986F6C" w:rsidP="00080433">
            <w:pPr>
              <w:spacing w:line="312" w:lineRule="auto"/>
              <w:jc w:val="center"/>
              <w:rPr>
                <w:sz w:val="24"/>
                <w:szCs w:val="24"/>
              </w:rPr>
            </w:pPr>
            <w:r w:rsidRPr="004D2F71">
              <w:rPr>
                <w:sz w:val="24"/>
                <w:szCs w:val="24"/>
              </w:rPr>
              <w:t>3</w:t>
            </w:r>
          </w:p>
        </w:tc>
        <w:tc>
          <w:tcPr>
            <w:tcW w:w="2615" w:type="dxa"/>
          </w:tcPr>
          <w:p w:rsidR="00986F6C" w:rsidRPr="008531DF" w:rsidRDefault="00986F6C" w:rsidP="00EB27DC">
            <w:pPr>
              <w:tabs>
                <w:tab w:val="left" w:pos="270"/>
              </w:tabs>
              <w:spacing w:line="312" w:lineRule="auto"/>
              <w:jc w:val="both"/>
              <w:rPr>
                <w:bCs/>
                <w:color w:val="0000CC"/>
                <w:sz w:val="24"/>
                <w:szCs w:val="24"/>
                <w:lang w:val="pt-BR"/>
              </w:rPr>
            </w:pPr>
            <w:r w:rsidRPr="008531DF">
              <w:rPr>
                <w:bCs/>
                <w:color w:val="0000CC"/>
                <w:sz w:val="24"/>
                <w:szCs w:val="24"/>
                <w:lang w:val="pt-BR"/>
              </w:rPr>
              <w:t xml:space="preserve">Nghiên cứu xây dựng và áp dụng thử hệ thống quản lý an toàn vệ sinh </w:t>
            </w:r>
            <w:r w:rsidRPr="008531DF">
              <w:rPr>
                <w:bCs/>
                <w:color w:val="0000CC"/>
                <w:sz w:val="24"/>
                <w:szCs w:val="24"/>
                <w:lang w:val="pt-BR"/>
              </w:rPr>
              <w:lastRenderedPageBreak/>
              <w:t xml:space="preserve">lao động (ATVSLĐ) theo tiêu chuẩn ISO 45001:2018 cho các cơ sở </w:t>
            </w:r>
            <w:r>
              <w:rPr>
                <w:bCs/>
                <w:color w:val="0000CC"/>
                <w:sz w:val="24"/>
                <w:szCs w:val="24"/>
                <w:lang w:val="pt-BR"/>
              </w:rPr>
              <w:t>sản xuất nguyên liệu nhựa từ nhựa tái chế</w:t>
            </w:r>
            <w:r w:rsidR="00F842A6">
              <w:rPr>
                <w:bCs/>
                <w:color w:val="0000CC"/>
                <w:sz w:val="24"/>
                <w:szCs w:val="24"/>
                <w:lang w:val="pt-BR"/>
              </w:rPr>
              <w:t>.</w:t>
            </w:r>
            <w:r w:rsidRPr="008531DF">
              <w:rPr>
                <w:bCs/>
                <w:color w:val="0000CC"/>
                <w:sz w:val="24"/>
                <w:szCs w:val="24"/>
                <w:lang w:val="pt-BR"/>
              </w:rPr>
              <w:t xml:space="preserve"> </w:t>
            </w:r>
          </w:p>
          <w:p w:rsidR="00986F6C" w:rsidRPr="008531DF" w:rsidRDefault="00986F6C" w:rsidP="00EB27DC">
            <w:pPr>
              <w:tabs>
                <w:tab w:val="left" w:pos="270"/>
              </w:tabs>
              <w:spacing w:line="312" w:lineRule="auto"/>
              <w:jc w:val="both"/>
              <w:rPr>
                <w:b/>
                <w:bCs/>
                <w:i/>
                <w:color w:val="0000CC"/>
                <w:sz w:val="24"/>
                <w:szCs w:val="24"/>
                <w:lang w:val="it-IT"/>
              </w:rPr>
            </w:pPr>
          </w:p>
        </w:tc>
        <w:tc>
          <w:tcPr>
            <w:tcW w:w="4110" w:type="dxa"/>
          </w:tcPr>
          <w:p w:rsidR="00986F6C" w:rsidRPr="008531DF" w:rsidRDefault="00986F6C" w:rsidP="00EB27DC">
            <w:pPr>
              <w:spacing w:line="312" w:lineRule="auto"/>
              <w:jc w:val="both"/>
              <w:rPr>
                <w:color w:val="0000CC"/>
                <w:sz w:val="24"/>
                <w:szCs w:val="24"/>
              </w:rPr>
            </w:pPr>
            <w:r w:rsidRPr="008531DF">
              <w:rPr>
                <w:color w:val="0000CC"/>
                <w:sz w:val="24"/>
                <w:szCs w:val="24"/>
              </w:rPr>
              <w:lastRenderedPageBreak/>
              <w:t xml:space="preserve">(1) Xây dựng được kỹ thuật đánh giá rủi ro ATVSLĐ trong các cơ sở </w:t>
            </w:r>
            <w:r w:rsidR="00097662">
              <w:rPr>
                <w:bCs/>
                <w:color w:val="0000CC"/>
                <w:sz w:val="24"/>
                <w:szCs w:val="24"/>
                <w:lang w:val="pt-BR"/>
              </w:rPr>
              <w:t>xuất nguyên liệu nhựa từ nhựa tái chế</w:t>
            </w:r>
            <w:r w:rsidRPr="008531DF">
              <w:rPr>
                <w:color w:val="0000CC"/>
                <w:sz w:val="24"/>
                <w:szCs w:val="24"/>
              </w:rPr>
              <w:t>.</w:t>
            </w:r>
          </w:p>
          <w:p w:rsidR="00986F6C" w:rsidRPr="008531DF" w:rsidRDefault="00986F6C" w:rsidP="00EB27DC">
            <w:pPr>
              <w:spacing w:line="312" w:lineRule="auto"/>
              <w:jc w:val="both"/>
              <w:rPr>
                <w:bCs/>
                <w:color w:val="0000CC"/>
                <w:sz w:val="24"/>
                <w:szCs w:val="24"/>
                <w:lang w:val="it-IT"/>
              </w:rPr>
            </w:pPr>
            <w:r w:rsidRPr="008531DF">
              <w:rPr>
                <w:color w:val="0000CC"/>
                <w:sz w:val="24"/>
                <w:szCs w:val="24"/>
              </w:rPr>
              <w:lastRenderedPageBreak/>
              <w:t xml:space="preserve">(2) Xây dựng mô hình và áp dụng thử hệ thống quản lý ATVSLĐ theo tiêu chuẩn ISO 45001:2018 tại 02 cơ sở </w:t>
            </w:r>
            <w:r w:rsidR="00097662">
              <w:rPr>
                <w:bCs/>
                <w:color w:val="0000CC"/>
                <w:sz w:val="24"/>
                <w:szCs w:val="24"/>
                <w:lang w:val="pt-BR"/>
              </w:rPr>
              <w:t>xuất nguyên liệu nhựa từ nhựa tái chế</w:t>
            </w:r>
            <w:r w:rsidRPr="008531DF">
              <w:rPr>
                <w:color w:val="0000CC"/>
                <w:sz w:val="24"/>
                <w:szCs w:val="24"/>
              </w:rPr>
              <w:t>.</w:t>
            </w:r>
          </w:p>
        </w:tc>
        <w:tc>
          <w:tcPr>
            <w:tcW w:w="6096" w:type="dxa"/>
          </w:tcPr>
          <w:p w:rsidR="00986F6C" w:rsidRPr="008531DF" w:rsidRDefault="00986F6C" w:rsidP="00EB27DC">
            <w:pPr>
              <w:tabs>
                <w:tab w:val="left" w:leader="dot" w:pos="9360"/>
              </w:tabs>
              <w:spacing w:line="312" w:lineRule="auto"/>
              <w:jc w:val="both"/>
              <w:rPr>
                <w:color w:val="0000CC"/>
                <w:sz w:val="24"/>
                <w:szCs w:val="24"/>
              </w:rPr>
            </w:pPr>
            <w:r w:rsidRPr="008531DF">
              <w:rPr>
                <w:color w:val="0000CC"/>
                <w:sz w:val="24"/>
                <w:szCs w:val="24"/>
              </w:rPr>
              <w:lastRenderedPageBreak/>
              <w:t xml:space="preserve">(1) Cơ sở dữ liệu nhận diện mối nguy ATVSLĐ </w:t>
            </w:r>
            <w:r w:rsidRPr="008531DF">
              <w:rPr>
                <w:bCs/>
                <w:color w:val="0000CC"/>
                <w:sz w:val="24"/>
                <w:szCs w:val="24"/>
              </w:rPr>
              <w:t xml:space="preserve">trong các cơ sở </w:t>
            </w:r>
            <w:r w:rsidR="00097662">
              <w:rPr>
                <w:bCs/>
                <w:color w:val="0000CC"/>
                <w:sz w:val="24"/>
                <w:szCs w:val="24"/>
                <w:lang w:val="pt-BR"/>
              </w:rPr>
              <w:t>xuất nguyên liệu nhựa từ nhựa tái chế</w:t>
            </w:r>
            <w:r w:rsidRPr="008531DF">
              <w:rPr>
                <w:color w:val="0000CC"/>
                <w:sz w:val="24"/>
                <w:szCs w:val="24"/>
              </w:rPr>
              <w:t>.</w:t>
            </w:r>
          </w:p>
          <w:p w:rsidR="00986F6C" w:rsidRPr="008531DF" w:rsidRDefault="00986F6C" w:rsidP="00EB27DC">
            <w:pPr>
              <w:tabs>
                <w:tab w:val="left" w:leader="dot" w:pos="9360"/>
              </w:tabs>
              <w:spacing w:line="312" w:lineRule="auto"/>
              <w:jc w:val="both"/>
              <w:rPr>
                <w:color w:val="0000CC"/>
                <w:sz w:val="24"/>
                <w:szCs w:val="24"/>
              </w:rPr>
            </w:pPr>
            <w:r w:rsidRPr="008531DF">
              <w:rPr>
                <w:color w:val="0000CC"/>
                <w:sz w:val="24"/>
                <w:szCs w:val="24"/>
              </w:rPr>
              <w:t xml:space="preserve">(2) Tài liệu hướng dẫn kỹ thuật nhận diện mối nguy, rủi ro </w:t>
            </w:r>
            <w:r w:rsidRPr="008531DF">
              <w:rPr>
                <w:color w:val="0000CC"/>
                <w:sz w:val="24"/>
                <w:szCs w:val="24"/>
              </w:rPr>
              <w:lastRenderedPageBreak/>
              <w:t>ATVSLĐ và báo cáo đánh giá rủi ro.</w:t>
            </w:r>
          </w:p>
          <w:p w:rsidR="00986F6C" w:rsidRPr="008531DF" w:rsidRDefault="00986F6C" w:rsidP="00EB27DC">
            <w:pPr>
              <w:widowControl w:val="0"/>
              <w:spacing w:line="312" w:lineRule="auto"/>
              <w:jc w:val="both"/>
              <w:rPr>
                <w:noProof/>
                <w:color w:val="0000CC"/>
                <w:sz w:val="24"/>
                <w:szCs w:val="24"/>
              </w:rPr>
            </w:pPr>
            <w:r w:rsidRPr="008531DF">
              <w:rPr>
                <w:color w:val="0000CC"/>
                <w:sz w:val="24"/>
                <w:szCs w:val="24"/>
              </w:rPr>
              <w:t xml:space="preserve">(3) Bộ tài liệu về hướng dẫn áp dụng hệ thống quản lý ATVSLĐ theo tiêu chuẩn ISO 45001:2018 </w:t>
            </w:r>
            <w:r w:rsidRPr="008531DF">
              <w:rPr>
                <w:bCs/>
                <w:color w:val="0000CC"/>
                <w:sz w:val="24"/>
                <w:szCs w:val="24"/>
              </w:rPr>
              <w:t xml:space="preserve">trong các cơ sở </w:t>
            </w:r>
            <w:r w:rsidR="00097662">
              <w:rPr>
                <w:bCs/>
                <w:color w:val="0000CC"/>
                <w:sz w:val="24"/>
                <w:szCs w:val="24"/>
                <w:lang w:val="pt-BR"/>
              </w:rPr>
              <w:t>xuất nguyên liệu nhựa từ nhựa tái chế</w:t>
            </w:r>
            <w:r w:rsidRPr="008531DF">
              <w:rPr>
                <w:color w:val="0000CC"/>
                <w:sz w:val="24"/>
                <w:szCs w:val="24"/>
              </w:rPr>
              <w:t>.</w:t>
            </w:r>
            <w:r w:rsidRPr="008531DF">
              <w:rPr>
                <w:noProof/>
                <w:color w:val="0000CC"/>
                <w:sz w:val="24"/>
                <w:szCs w:val="24"/>
              </w:rPr>
              <w:t xml:space="preserve"> </w:t>
            </w:r>
          </w:p>
          <w:p w:rsidR="00986F6C" w:rsidRPr="008531DF" w:rsidRDefault="00986F6C" w:rsidP="00EB27DC">
            <w:pPr>
              <w:widowControl w:val="0"/>
              <w:spacing w:line="312" w:lineRule="auto"/>
              <w:jc w:val="both"/>
              <w:rPr>
                <w:noProof/>
                <w:color w:val="0000CC"/>
                <w:sz w:val="24"/>
                <w:szCs w:val="24"/>
              </w:rPr>
            </w:pPr>
            <w:r w:rsidRPr="008531DF">
              <w:rPr>
                <w:noProof/>
                <w:color w:val="0000CC"/>
                <w:sz w:val="24"/>
                <w:szCs w:val="24"/>
              </w:rPr>
              <w:t>(</w:t>
            </w:r>
            <w:r w:rsidRPr="008531DF">
              <w:rPr>
                <w:noProof/>
                <w:color w:val="0000CC"/>
                <w:sz w:val="24"/>
                <w:szCs w:val="24"/>
                <w:lang w:val="vi-VN"/>
              </w:rPr>
              <w:t>4</w:t>
            </w:r>
            <w:r w:rsidRPr="008531DF">
              <w:rPr>
                <w:noProof/>
                <w:color w:val="0000CC"/>
                <w:sz w:val="24"/>
                <w:szCs w:val="24"/>
              </w:rPr>
              <w:t>)</w:t>
            </w:r>
            <w:r w:rsidRPr="008531DF">
              <w:rPr>
                <w:noProof/>
                <w:color w:val="0000CC"/>
                <w:sz w:val="24"/>
                <w:szCs w:val="24"/>
                <w:lang w:val="vi-VN"/>
              </w:rPr>
              <w:t xml:space="preserve">. </w:t>
            </w:r>
            <w:r w:rsidRPr="008531DF">
              <w:rPr>
                <w:noProof/>
                <w:color w:val="0000CC"/>
                <w:sz w:val="24"/>
                <w:szCs w:val="24"/>
              </w:rPr>
              <w:t xml:space="preserve">Báo cáo đánh giá kết quả áp dụng mô hình </w:t>
            </w:r>
            <w:r w:rsidRPr="008531DF">
              <w:rPr>
                <w:color w:val="0000CC"/>
                <w:sz w:val="24"/>
                <w:szCs w:val="24"/>
              </w:rPr>
              <w:t xml:space="preserve">hệ thống quản lý ATVSLĐ theo tiêu chuẩn ISO 45001:2018 tại 02 cơ </w:t>
            </w:r>
            <w:r w:rsidR="00097662">
              <w:rPr>
                <w:bCs/>
                <w:color w:val="0000CC"/>
                <w:sz w:val="24"/>
                <w:szCs w:val="24"/>
                <w:lang w:val="pt-BR"/>
              </w:rPr>
              <w:t>xuất nguyên liệu nhựa từ nhựa tái chế</w:t>
            </w:r>
            <w:r w:rsidRPr="008531DF">
              <w:rPr>
                <w:noProof/>
                <w:color w:val="0000CC"/>
                <w:sz w:val="24"/>
                <w:szCs w:val="24"/>
              </w:rPr>
              <w:t>.</w:t>
            </w:r>
          </w:p>
        </w:tc>
        <w:tc>
          <w:tcPr>
            <w:tcW w:w="1417" w:type="dxa"/>
          </w:tcPr>
          <w:p w:rsidR="00986F6C" w:rsidRPr="004D2F71" w:rsidRDefault="00986F6C" w:rsidP="00080433">
            <w:pPr>
              <w:spacing w:line="312" w:lineRule="auto"/>
              <w:jc w:val="center"/>
              <w:rPr>
                <w:sz w:val="24"/>
                <w:szCs w:val="24"/>
              </w:rPr>
            </w:pPr>
            <w:r w:rsidRPr="004D2F71">
              <w:rPr>
                <w:sz w:val="24"/>
                <w:szCs w:val="24"/>
              </w:rPr>
              <w:lastRenderedPageBreak/>
              <w:t>24 tháng</w:t>
            </w:r>
          </w:p>
        </w:tc>
      </w:tr>
      <w:tr w:rsidR="00AF501B" w:rsidRPr="004D2F71" w:rsidTr="00080433">
        <w:tc>
          <w:tcPr>
            <w:tcW w:w="646" w:type="dxa"/>
          </w:tcPr>
          <w:p w:rsidR="00AF501B" w:rsidRPr="00D538CE" w:rsidRDefault="00AF501B" w:rsidP="00080433">
            <w:pPr>
              <w:spacing w:line="312" w:lineRule="auto"/>
              <w:jc w:val="center"/>
              <w:rPr>
                <w:color w:val="0000CC"/>
                <w:sz w:val="24"/>
                <w:szCs w:val="24"/>
              </w:rPr>
            </w:pPr>
            <w:r w:rsidRPr="00D538CE">
              <w:rPr>
                <w:color w:val="0000CC"/>
                <w:sz w:val="24"/>
                <w:szCs w:val="24"/>
              </w:rPr>
              <w:lastRenderedPageBreak/>
              <w:t>4</w:t>
            </w:r>
          </w:p>
        </w:tc>
        <w:tc>
          <w:tcPr>
            <w:tcW w:w="2615" w:type="dxa"/>
          </w:tcPr>
          <w:p w:rsidR="00AF501B" w:rsidRPr="00D538CE" w:rsidRDefault="00AF501B" w:rsidP="00D538CE">
            <w:pPr>
              <w:spacing w:line="312" w:lineRule="auto"/>
              <w:jc w:val="both"/>
              <w:rPr>
                <w:bCs/>
                <w:color w:val="0000CC"/>
                <w:sz w:val="24"/>
                <w:szCs w:val="24"/>
                <w:lang w:val="pt-BR"/>
              </w:rPr>
            </w:pPr>
            <w:r w:rsidRPr="00D538CE">
              <w:rPr>
                <w:bCs/>
                <w:color w:val="0000CC"/>
                <w:sz w:val="24"/>
                <w:szCs w:val="24"/>
                <w:lang w:val="pt-BR"/>
              </w:rPr>
              <w:t xml:space="preserve">Nghiên cứu </w:t>
            </w:r>
            <w:r w:rsidR="00D538CE" w:rsidRPr="00D538CE">
              <w:rPr>
                <w:bCs/>
                <w:color w:val="0000CC"/>
                <w:sz w:val="24"/>
                <w:szCs w:val="24"/>
                <w:lang w:val="pt-BR"/>
              </w:rPr>
              <w:t>áp dụng phương pháp đánh giá phân loại điều kiện lao động của Viện khoa học An toàn và Vệ sinh lao động để đề xuất xếp loại lao động cho các ngành chế biến gỗ và chế biến thủy sản</w:t>
            </w:r>
          </w:p>
        </w:tc>
        <w:tc>
          <w:tcPr>
            <w:tcW w:w="4110" w:type="dxa"/>
          </w:tcPr>
          <w:p w:rsidR="00AF501B" w:rsidRPr="00D538CE" w:rsidRDefault="00AF501B" w:rsidP="00080433">
            <w:pPr>
              <w:spacing w:line="312" w:lineRule="auto"/>
              <w:jc w:val="both"/>
              <w:rPr>
                <w:color w:val="0000CC"/>
                <w:sz w:val="24"/>
                <w:szCs w:val="24"/>
              </w:rPr>
            </w:pPr>
            <w:r w:rsidRPr="00D538CE">
              <w:rPr>
                <w:color w:val="0000CC"/>
                <w:sz w:val="24"/>
                <w:szCs w:val="24"/>
              </w:rPr>
              <w:t xml:space="preserve">1. </w:t>
            </w:r>
            <w:r w:rsidR="00D538CE" w:rsidRPr="00D538CE">
              <w:rPr>
                <w:color w:val="0000CC"/>
                <w:sz w:val="24"/>
                <w:szCs w:val="24"/>
              </w:rPr>
              <w:t xml:space="preserve">Đánh giá phân loại được điều kiện lao động cho các công đoạn sản xuất chính trong </w:t>
            </w:r>
            <w:r w:rsidR="00D538CE" w:rsidRPr="00D538CE">
              <w:rPr>
                <w:bCs/>
                <w:color w:val="0000CC"/>
                <w:sz w:val="24"/>
                <w:szCs w:val="24"/>
                <w:lang w:val="pt-BR"/>
              </w:rPr>
              <w:t>ngành chế biến gỗ và chế biến thủy sản.</w:t>
            </w:r>
          </w:p>
          <w:p w:rsidR="00AF501B" w:rsidRPr="00D538CE" w:rsidRDefault="00AF501B" w:rsidP="00D538CE">
            <w:pPr>
              <w:spacing w:line="312" w:lineRule="auto"/>
              <w:jc w:val="both"/>
              <w:rPr>
                <w:color w:val="0000CC"/>
                <w:sz w:val="24"/>
                <w:szCs w:val="24"/>
              </w:rPr>
            </w:pPr>
            <w:r w:rsidRPr="00D538CE">
              <w:rPr>
                <w:color w:val="0000CC"/>
                <w:sz w:val="24"/>
                <w:szCs w:val="24"/>
              </w:rPr>
              <w:t xml:space="preserve">2. </w:t>
            </w:r>
            <w:r w:rsidR="00D538CE" w:rsidRPr="00D538CE">
              <w:rPr>
                <w:color w:val="0000CC"/>
                <w:sz w:val="24"/>
                <w:szCs w:val="24"/>
              </w:rPr>
              <w:t>Đề xuất danh mục xếp loại lao động theo kết quả đánh giá phân loại điều kiện lao động.</w:t>
            </w:r>
            <w:r w:rsidRPr="00D538CE">
              <w:rPr>
                <w:color w:val="0000CC"/>
                <w:sz w:val="24"/>
                <w:szCs w:val="24"/>
              </w:rPr>
              <w:t xml:space="preserve"> </w:t>
            </w:r>
          </w:p>
        </w:tc>
        <w:tc>
          <w:tcPr>
            <w:tcW w:w="6096" w:type="dxa"/>
          </w:tcPr>
          <w:p w:rsidR="00AF501B" w:rsidRPr="00D538CE" w:rsidRDefault="00AF501B" w:rsidP="00080433">
            <w:pPr>
              <w:spacing w:line="312" w:lineRule="auto"/>
              <w:jc w:val="both"/>
              <w:rPr>
                <w:bCs/>
                <w:color w:val="0000CC"/>
                <w:sz w:val="24"/>
                <w:szCs w:val="24"/>
                <w:lang w:val="pt-BR"/>
              </w:rPr>
            </w:pPr>
            <w:r w:rsidRPr="00D538CE">
              <w:rPr>
                <w:bCs/>
                <w:color w:val="0000CC"/>
                <w:sz w:val="24"/>
                <w:szCs w:val="24"/>
                <w:lang w:val="pt-BR"/>
              </w:rPr>
              <w:t xml:space="preserve">(1). </w:t>
            </w:r>
            <w:r w:rsidR="00D538CE" w:rsidRPr="00D538CE">
              <w:rPr>
                <w:bCs/>
                <w:color w:val="0000CC"/>
                <w:sz w:val="24"/>
                <w:szCs w:val="24"/>
                <w:lang w:val="pt-BR"/>
              </w:rPr>
              <w:t>Báo cáo kết quả đánh giá phân loại điều kiện lao động cho các công đoạn sản xuất chính trong ngành chế biến gỗ và chế biến thủy sản.</w:t>
            </w:r>
          </w:p>
          <w:p w:rsidR="00AF501B" w:rsidRPr="00D538CE" w:rsidRDefault="00AF501B" w:rsidP="00D538CE">
            <w:pPr>
              <w:spacing w:line="312" w:lineRule="auto"/>
              <w:jc w:val="both"/>
              <w:rPr>
                <w:color w:val="0000CC"/>
                <w:sz w:val="24"/>
                <w:szCs w:val="24"/>
                <w:lang w:val="it-IT"/>
              </w:rPr>
            </w:pPr>
            <w:r w:rsidRPr="00D538CE">
              <w:rPr>
                <w:bCs/>
                <w:color w:val="0000CC"/>
                <w:sz w:val="24"/>
                <w:szCs w:val="24"/>
                <w:lang w:val="pt-BR"/>
              </w:rPr>
              <w:t xml:space="preserve">(2). </w:t>
            </w:r>
            <w:r w:rsidR="00D538CE" w:rsidRPr="00D538CE">
              <w:rPr>
                <w:bCs/>
                <w:color w:val="0000CC"/>
                <w:sz w:val="24"/>
                <w:szCs w:val="24"/>
                <w:lang w:val="pt-BR"/>
              </w:rPr>
              <w:t xml:space="preserve">Báo cáo đề xuất </w:t>
            </w:r>
            <w:r w:rsidR="00D538CE" w:rsidRPr="00D538CE">
              <w:rPr>
                <w:color w:val="0000CC"/>
                <w:sz w:val="24"/>
                <w:szCs w:val="24"/>
              </w:rPr>
              <w:t>xếp loại lao động theo kết quả đánh giá phân loại điều kiện lao động.</w:t>
            </w:r>
          </w:p>
        </w:tc>
        <w:tc>
          <w:tcPr>
            <w:tcW w:w="1417" w:type="dxa"/>
          </w:tcPr>
          <w:p w:rsidR="00AF501B" w:rsidRPr="00D538CE" w:rsidRDefault="00AF501B" w:rsidP="00080433">
            <w:pPr>
              <w:spacing w:line="312" w:lineRule="auto"/>
              <w:jc w:val="center"/>
              <w:rPr>
                <w:color w:val="0000CC"/>
                <w:sz w:val="24"/>
                <w:szCs w:val="24"/>
              </w:rPr>
            </w:pPr>
            <w:r w:rsidRPr="00D538CE">
              <w:rPr>
                <w:color w:val="0000CC"/>
                <w:sz w:val="24"/>
                <w:szCs w:val="24"/>
              </w:rPr>
              <w:t>24 tháng</w:t>
            </w:r>
          </w:p>
        </w:tc>
      </w:tr>
      <w:tr w:rsidR="00AF501B" w:rsidRPr="004D2F71" w:rsidTr="00080433">
        <w:tc>
          <w:tcPr>
            <w:tcW w:w="646" w:type="dxa"/>
          </w:tcPr>
          <w:p w:rsidR="00AF501B" w:rsidRPr="004165CD" w:rsidRDefault="00AF501B" w:rsidP="00080433">
            <w:pPr>
              <w:spacing w:line="312" w:lineRule="auto"/>
              <w:jc w:val="center"/>
              <w:rPr>
                <w:color w:val="0000CC"/>
                <w:sz w:val="24"/>
                <w:szCs w:val="24"/>
              </w:rPr>
            </w:pPr>
            <w:r w:rsidRPr="004165CD">
              <w:rPr>
                <w:color w:val="0000CC"/>
                <w:sz w:val="24"/>
                <w:szCs w:val="24"/>
              </w:rPr>
              <w:t>5</w:t>
            </w:r>
          </w:p>
        </w:tc>
        <w:tc>
          <w:tcPr>
            <w:tcW w:w="2615" w:type="dxa"/>
          </w:tcPr>
          <w:p w:rsidR="00AF501B" w:rsidRPr="004165CD" w:rsidRDefault="004165CD" w:rsidP="00080433">
            <w:pPr>
              <w:spacing w:line="312" w:lineRule="auto"/>
              <w:jc w:val="both"/>
              <w:rPr>
                <w:bCs/>
                <w:color w:val="0000CC"/>
                <w:sz w:val="24"/>
                <w:szCs w:val="24"/>
              </w:rPr>
            </w:pPr>
            <w:r w:rsidRPr="004165CD">
              <w:rPr>
                <w:color w:val="0000CC"/>
                <w:spacing w:val="-4"/>
                <w:sz w:val="24"/>
                <w:szCs w:val="24"/>
                <w:lang w:val="nl-NL"/>
              </w:rPr>
              <w:t>Nghiên cứu ảnh hưởng đến sức khỏe của người lao động có tiếp xúc với vi nấm Aspergilus trong ngành sản xuất chế biến thức ăn chăn nuôi và đề xuất giải pháp dự phòng</w:t>
            </w:r>
            <w:r w:rsidR="00AF501B" w:rsidRPr="004165CD">
              <w:rPr>
                <w:bCs/>
                <w:color w:val="0000CC"/>
                <w:sz w:val="24"/>
                <w:szCs w:val="24"/>
                <w:lang w:val="it-IT"/>
              </w:rPr>
              <w:t xml:space="preserve"> </w:t>
            </w:r>
          </w:p>
        </w:tc>
        <w:tc>
          <w:tcPr>
            <w:tcW w:w="4110" w:type="dxa"/>
          </w:tcPr>
          <w:p w:rsidR="004165CD" w:rsidRPr="004165CD" w:rsidRDefault="004165CD" w:rsidP="004165CD">
            <w:pPr>
              <w:shd w:val="clear" w:color="auto" w:fill="FFFFFF"/>
              <w:spacing w:line="312" w:lineRule="auto"/>
              <w:contextualSpacing/>
              <w:jc w:val="both"/>
              <w:rPr>
                <w:color w:val="0000CC"/>
                <w:sz w:val="24"/>
                <w:szCs w:val="24"/>
              </w:rPr>
            </w:pPr>
            <w:r w:rsidRPr="004165CD">
              <w:rPr>
                <w:color w:val="0000CC"/>
                <w:sz w:val="24"/>
                <w:szCs w:val="24"/>
              </w:rPr>
              <w:t>(1). Xác định mức độ phơi nhiễm vi nấm Aspergilus ở người lao động trong ngành sản xuất chế biến thức ăn chăn nuôi (theo liều tiếp xúc);</w:t>
            </w:r>
          </w:p>
          <w:p w:rsidR="004165CD" w:rsidRPr="004165CD" w:rsidRDefault="004165CD" w:rsidP="004165CD">
            <w:pPr>
              <w:shd w:val="clear" w:color="auto" w:fill="FFFFFF"/>
              <w:spacing w:line="312" w:lineRule="auto"/>
              <w:contextualSpacing/>
              <w:jc w:val="both"/>
              <w:rPr>
                <w:color w:val="0000CC"/>
                <w:sz w:val="24"/>
                <w:szCs w:val="24"/>
              </w:rPr>
            </w:pPr>
            <w:r w:rsidRPr="004165CD">
              <w:rPr>
                <w:color w:val="0000CC"/>
                <w:sz w:val="24"/>
                <w:szCs w:val="24"/>
              </w:rPr>
              <w:t>(2). Xác định tình hình sức khỏe liên quan đến phơi nhiễm vi nấm Aspergilus ở người lao động động trong ngành sản xuất chế biến thức ăn chăn nuôi;</w:t>
            </w:r>
          </w:p>
          <w:p w:rsidR="00AF501B" w:rsidRPr="004165CD" w:rsidRDefault="004165CD" w:rsidP="004165CD">
            <w:pPr>
              <w:spacing w:line="312" w:lineRule="auto"/>
              <w:jc w:val="both"/>
              <w:rPr>
                <w:color w:val="0000CC"/>
                <w:sz w:val="24"/>
                <w:szCs w:val="24"/>
              </w:rPr>
            </w:pPr>
            <w:r w:rsidRPr="004165CD">
              <w:rPr>
                <w:color w:val="0000CC"/>
                <w:sz w:val="24"/>
                <w:szCs w:val="24"/>
              </w:rPr>
              <w:t xml:space="preserve">(3). Đề xuất một số giải pháp dự phòng </w:t>
            </w:r>
            <w:r w:rsidRPr="004165CD">
              <w:rPr>
                <w:color w:val="0000CC"/>
                <w:sz w:val="24"/>
                <w:szCs w:val="24"/>
              </w:rPr>
              <w:lastRenderedPageBreak/>
              <w:t>nhằm giảm thiểu mức độ phơi nhiễm vi nấm Aspergilus của người lao động trong ngành sản xuất chế biến thức ăn chăn nuôi;</w:t>
            </w:r>
          </w:p>
        </w:tc>
        <w:tc>
          <w:tcPr>
            <w:tcW w:w="6096" w:type="dxa"/>
          </w:tcPr>
          <w:p w:rsidR="004165CD" w:rsidRPr="004165CD" w:rsidRDefault="004165CD" w:rsidP="004165CD">
            <w:pPr>
              <w:spacing w:line="312" w:lineRule="auto"/>
              <w:jc w:val="both"/>
              <w:rPr>
                <w:bCs/>
                <w:color w:val="0000CC"/>
                <w:sz w:val="24"/>
                <w:szCs w:val="24"/>
              </w:rPr>
            </w:pPr>
            <w:r w:rsidRPr="004165CD">
              <w:rPr>
                <w:bCs/>
                <w:color w:val="0000CC"/>
                <w:sz w:val="24"/>
                <w:szCs w:val="24"/>
              </w:rPr>
              <w:lastRenderedPageBreak/>
              <w:t>(1). Báo cáo khoa học mức độ phơi nhiễm vi nấm Aspergilus ở người lao động trong ngành sản xuất chế biến thức ăn chăn nuôi;</w:t>
            </w:r>
          </w:p>
          <w:p w:rsidR="004165CD" w:rsidRPr="004165CD" w:rsidRDefault="004165CD" w:rsidP="004165CD">
            <w:pPr>
              <w:spacing w:line="312" w:lineRule="auto"/>
              <w:jc w:val="both"/>
              <w:rPr>
                <w:bCs/>
                <w:color w:val="0000CC"/>
                <w:sz w:val="24"/>
                <w:szCs w:val="24"/>
              </w:rPr>
            </w:pPr>
            <w:r w:rsidRPr="004165CD">
              <w:rPr>
                <w:bCs/>
                <w:color w:val="0000CC"/>
                <w:sz w:val="24"/>
                <w:szCs w:val="24"/>
              </w:rPr>
              <w:t>(2). Báo cáo khoa học tình hình sức khỏe liên quan đến vi nấm Aspergilus ở người lao động trong ngành sản xuất chế biến thức ăn chăn nuôi;</w:t>
            </w:r>
          </w:p>
          <w:p w:rsidR="004165CD" w:rsidRDefault="004165CD" w:rsidP="004165CD">
            <w:pPr>
              <w:spacing w:line="312" w:lineRule="auto"/>
              <w:jc w:val="both"/>
              <w:rPr>
                <w:bCs/>
                <w:color w:val="0000CC"/>
                <w:sz w:val="24"/>
                <w:szCs w:val="24"/>
              </w:rPr>
            </w:pPr>
            <w:r w:rsidRPr="004165CD">
              <w:rPr>
                <w:bCs/>
                <w:color w:val="0000CC"/>
                <w:sz w:val="24"/>
                <w:szCs w:val="24"/>
              </w:rPr>
              <w:t xml:space="preserve">(3). Các giải giải pháp dự phòng khả thi nhằm cải thiện điều kiện lao động, giảm thiểu ảnh hưởng của vi nấm Aspergilus đến sức khỏe người lao động trong ngành sản xuất chế biến </w:t>
            </w:r>
            <w:r w:rsidRPr="004165CD">
              <w:rPr>
                <w:bCs/>
                <w:color w:val="0000CC"/>
                <w:sz w:val="24"/>
                <w:szCs w:val="24"/>
              </w:rPr>
              <w:lastRenderedPageBreak/>
              <w:t>thức ăn chăn nuôi;</w:t>
            </w:r>
          </w:p>
          <w:p w:rsidR="00AF501B" w:rsidRPr="004165CD" w:rsidRDefault="00AF501B" w:rsidP="004165CD">
            <w:pPr>
              <w:spacing w:line="312" w:lineRule="auto"/>
              <w:jc w:val="both"/>
              <w:rPr>
                <w:color w:val="0000CC"/>
                <w:sz w:val="24"/>
                <w:szCs w:val="24"/>
                <w:lang w:val="it-IT"/>
              </w:rPr>
            </w:pPr>
            <w:r w:rsidRPr="004165CD">
              <w:rPr>
                <w:color w:val="0000CC"/>
                <w:sz w:val="24"/>
                <w:szCs w:val="24"/>
                <w:lang w:val="it-IT"/>
              </w:rPr>
              <w:t xml:space="preserve"> </w:t>
            </w:r>
          </w:p>
        </w:tc>
        <w:tc>
          <w:tcPr>
            <w:tcW w:w="1417" w:type="dxa"/>
          </w:tcPr>
          <w:p w:rsidR="00AF501B" w:rsidRPr="004165CD" w:rsidRDefault="00AF501B" w:rsidP="00080433">
            <w:pPr>
              <w:spacing w:line="312" w:lineRule="auto"/>
              <w:jc w:val="center"/>
              <w:rPr>
                <w:color w:val="0000CC"/>
                <w:sz w:val="24"/>
                <w:szCs w:val="24"/>
              </w:rPr>
            </w:pPr>
            <w:r w:rsidRPr="004165CD">
              <w:rPr>
                <w:color w:val="0000CC"/>
                <w:sz w:val="24"/>
                <w:szCs w:val="24"/>
              </w:rPr>
              <w:lastRenderedPageBreak/>
              <w:t>24 tháng</w:t>
            </w:r>
          </w:p>
        </w:tc>
      </w:tr>
      <w:tr w:rsidR="00D538CE" w:rsidRPr="004D2F71" w:rsidTr="00080433">
        <w:tc>
          <w:tcPr>
            <w:tcW w:w="646" w:type="dxa"/>
          </w:tcPr>
          <w:p w:rsidR="00D538CE" w:rsidRPr="004D2F71" w:rsidRDefault="00D538CE" w:rsidP="00080433">
            <w:pPr>
              <w:spacing w:line="312" w:lineRule="auto"/>
              <w:jc w:val="center"/>
              <w:rPr>
                <w:sz w:val="24"/>
                <w:szCs w:val="24"/>
              </w:rPr>
            </w:pPr>
            <w:r w:rsidRPr="004D2F71">
              <w:rPr>
                <w:sz w:val="24"/>
                <w:szCs w:val="24"/>
              </w:rPr>
              <w:lastRenderedPageBreak/>
              <w:t>6</w:t>
            </w:r>
          </w:p>
        </w:tc>
        <w:tc>
          <w:tcPr>
            <w:tcW w:w="2615" w:type="dxa"/>
          </w:tcPr>
          <w:p w:rsidR="00D538CE" w:rsidRPr="004165CD" w:rsidRDefault="00D538CE" w:rsidP="00EB27DC">
            <w:pPr>
              <w:spacing w:line="312" w:lineRule="auto"/>
              <w:jc w:val="both"/>
              <w:rPr>
                <w:b/>
                <w:bCs/>
                <w:i/>
                <w:color w:val="0000CC"/>
                <w:sz w:val="24"/>
                <w:szCs w:val="24"/>
              </w:rPr>
            </w:pPr>
            <w:r w:rsidRPr="004165CD">
              <w:rPr>
                <w:bCs/>
                <w:color w:val="0000CC"/>
                <w:sz w:val="24"/>
                <w:szCs w:val="24"/>
                <w:lang w:val="it-IT"/>
              </w:rPr>
              <w:t xml:space="preserve">Nghiên cứu đánh giá mức độ phơi nhiễm khí Clo ảnh hưởng đến sức khỏe người lao động ở các cơ sở chế biến thủy sản và đề xuất giải pháp dự phòng </w:t>
            </w:r>
          </w:p>
        </w:tc>
        <w:tc>
          <w:tcPr>
            <w:tcW w:w="4110" w:type="dxa"/>
          </w:tcPr>
          <w:p w:rsidR="00D538CE" w:rsidRPr="004165CD" w:rsidRDefault="00D538CE" w:rsidP="00EB27DC">
            <w:pPr>
              <w:spacing w:line="312" w:lineRule="auto"/>
              <w:jc w:val="both"/>
              <w:rPr>
                <w:bCs/>
                <w:color w:val="0000CC"/>
                <w:sz w:val="24"/>
                <w:szCs w:val="24"/>
              </w:rPr>
            </w:pPr>
            <w:r w:rsidRPr="004165CD">
              <w:rPr>
                <w:bCs/>
                <w:color w:val="0000CC"/>
                <w:sz w:val="24"/>
                <w:szCs w:val="24"/>
              </w:rPr>
              <w:t>(1). Đánh giá được mức độ phơi nhiễm khí Clo ở người lao động trong các cơ sở chế biến thủy sản;</w:t>
            </w:r>
          </w:p>
          <w:p w:rsidR="00D538CE" w:rsidRPr="004165CD" w:rsidRDefault="00D538CE" w:rsidP="00EB27DC">
            <w:pPr>
              <w:spacing w:line="312" w:lineRule="auto"/>
              <w:jc w:val="both"/>
              <w:rPr>
                <w:bCs/>
                <w:color w:val="0000CC"/>
                <w:sz w:val="24"/>
                <w:szCs w:val="24"/>
              </w:rPr>
            </w:pPr>
            <w:r w:rsidRPr="004165CD">
              <w:rPr>
                <w:bCs/>
                <w:color w:val="0000CC"/>
                <w:sz w:val="24"/>
                <w:szCs w:val="24"/>
              </w:rPr>
              <w:t>(2). Xác định được ảnh hưởng đến sức khỏe ở người lao động có tiếp xúc với khí Clo ở các cơ sở chế biến thủy sản;</w:t>
            </w:r>
          </w:p>
          <w:p w:rsidR="00D538CE" w:rsidRPr="004165CD" w:rsidRDefault="00D538CE" w:rsidP="00EB27DC">
            <w:pPr>
              <w:spacing w:line="312" w:lineRule="auto"/>
              <w:jc w:val="both"/>
              <w:rPr>
                <w:bCs/>
                <w:color w:val="0000CC"/>
                <w:sz w:val="24"/>
                <w:szCs w:val="24"/>
              </w:rPr>
            </w:pPr>
            <w:r w:rsidRPr="004165CD">
              <w:rPr>
                <w:bCs/>
                <w:color w:val="0000CC"/>
                <w:sz w:val="24"/>
                <w:szCs w:val="24"/>
              </w:rPr>
              <w:t>(3). Các giải pháp dự phòng khả thi góp phần giảm thiểu tiếp xúc khí Clo của người lao động ở các cơ sở chế biến thủy sản;</w:t>
            </w:r>
          </w:p>
        </w:tc>
        <w:tc>
          <w:tcPr>
            <w:tcW w:w="6096" w:type="dxa"/>
          </w:tcPr>
          <w:p w:rsidR="00D538CE" w:rsidRPr="004165CD" w:rsidRDefault="00D538CE" w:rsidP="00EB27DC">
            <w:pPr>
              <w:spacing w:line="312" w:lineRule="auto"/>
              <w:jc w:val="both"/>
              <w:rPr>
                <w:bCs/>
                <w:color w:val="0000CC"/>
                <w:sz w:val="24"/>
                <w:szCs w:val="24"/>
                <w:lang w:val="it-IT"/>
              </w:rPr>
            </w:pPr>
            <w:r w:rsidRPr="004165CD">
              <w:rPr>
                <w:bCs/>
                <w:color w:val="0000CC"/>
                <w:sz w:val="24"/>
                <w:szCs w:val="24"/>
                <w:lang w:val="it-IT"/>
              </w:rPr>
              <w:t>(1). Báo cáo đánh giá mức độ phơi nhiễm khí Clo ở người lao động trong các cơ sở chế biến thủy sản;</w:t>
            </w:r>
          </w:p>
          <w:p w:rsidR="00D538CE" w:rsidRPr="004165CD" w:rsidRDefault="00D538CE" w:rsidP="00EB27DC">
            <w:pPr>
              <w:spacing w:line="312" w:lineRule="auto"/>
              <w:jc w:val="both"/>
              <w:rPr>
                <w:bCs/>
                <w:color w:val="0000CC"/>
                <w:sz w:val="24"/>
                <w:szCs w:val="24"/>
                <w:lang w:val="it-IT"/>
              </w:rPr>
            </w:pPr>
            <w:r w:rsidRPr="004165CD">
              <w:rPr>
                <w:bCs/>
                <w:color w:val="0000CC"/>
                <w:sz w:val="24"/>
                <w:szCs w:val="24"/>
                <w:lang w:val="it-IT"/>
              </w:rPr>
              <w:t>(2). Báo cáo tình hình sức khỏe, bệnh tật có liên quan tới tiếp xúc với khí Clo ở người lao động trong các cơ sở chế biến thủy sản;</w:t>
            </w:r>
          </w:p>
          <w:p w:rsidR="00D538CE" w:rsidRPr="004165CD" w:rsidRDefault="00D538CE" w:rsidP="00EB27DC">
            <w:pPr>
              <w:widowControl w:val="0"/>
              <w:spacing w:line="312" w:lineRule="auto"/>
              <w:jc w:val="both"/>
              <w:rPr>
                <w:bCs/>
                <w:color w:val="0000CC"/>
                <w:sz w:val="24"/>
                <w:szCs w:val="24"/>
                <w:lang w:val="it-IT"/>
              </w:rPr>
            </w:pPr>
            <w:r w:rsidRPr="004165CD">
              <w:rPr>
                <w:bCs/>
                <w:color w:val="0000CC"/>
                <w:sz w:val="24"/>
                <w:szCs w:val="24"/>
                <w:lang w:val="it-IT"/>
              </w:rPr>
              <w:t>(3). Báo về các giải pháp khả thi góp phần giảm thiểu tiếp xúc với khí Clo ở người lao động trong các cơ sở chế biến thủy sản;</w:t>
            </w:r>
          </w:p>
        </w:tc>
        <w:tc>
          <w:tcPr>
            <w:tcW w:w="1417" w:type="dxa"/>
          </w:tcPr>
          <w:p w:rsidR="00D538CE" w:rsidRPr="004165CD" w:rsidRDefault="00D538CE" w:rsidP="00EB27DC">
            <w:pPr>
              <w:spacing w:line="312" w:lineRule="auto"/>
              <w:jc w:val="center"/>
              <w:rPr>
                <w:color w:val="0000CC"/>
                <w:sz w:val="24"/>
                <w:szCs w:val="24"/>
              </w:rPr>
            </w:pPr>
            <w:r w:rsidRPr="004165CD">
              <w:rPr>
                <w:color w:val="0000CC"/>
                <w:sz w:val="24"/>
                <w:szCs w:val="24"/>
              </w:rPr>
              <w:t>24 tháng</w:t>
            </w:r>
          </w:p>
        </w:tc>
      </w:tr>
      <w:tr w:rsidR="00D538CE" w:rsidRPr="004D2F71" w:rsidTr="00080433">
        <w:tc>
          <w:tcPr>
            <w:tcW w:w="646" w:type="dxa"/>
          </w:tcPr>
          <w:p w:rsidR="00D538CE" w:rsidRPr="004165CD" w:rsidRDefault="00D538CE" w:rsidP="00080433">
            <w:pPr>
              <w:spacing w:line="312" w:lineRule="auto"/>
              <w:jc w:val="center"/>
              <w:rPr>
                <w:color w:val="0000CC"/>
                <w:sz w:val="24"/>
                <w:szCs w:val="24"/>
              </w:rPr>
            </w:pPr>
            <w:r w:rsidRPr="004165CD">
              <w:rPr>
                <w:color w:val="0000CC"/>
                <w:sz w:val="24"/>
                <w:szCs w:val="24"/>
              </w:rPr>
              <w:t>7</w:t>
            </w:r>
          </w:p>
        </w:tc>
        <w:tc>
          <w:tcPr>
            <w:tcW w:w="2615" w:type="dxa"/>
          </w:tcPr>
          <w:p w:rsidR="00D538CE" w:rsidRPr="00D420C9" w:rsidRDefault="00D538CE" w:rsidP="00EB27DC">
            <w:pPr>
              <w:spacing w:line="312" w:lineRule="auto"/>
              <w:jc w:val="both"/>
              <w:rPr>
                <w:b/>
                <w:i/>
                <w:color w:val="0000CC"/>
                <w:sz w:val="24"/>
                <w:szCs w:val="24"/>
              </w:rPr>
            </w:pPr>
            <w:r w:rsidRPr="00D420C9">
              <w:rPr>
                <w:color w:val="0000CC"/>
                <w:sz w:val="24"/>
                <w:szCs w:val="24"/>
              </w:rPr>
              <w:t xml:space="preserve">Nghiên cứu xác định mức độ nhiễm Methyl Ethyl Keton, Methyl n- Buhyl Ketone ở người lao động trong một số cơ sở sản xuất giày da và đề xuất áp dụng tiêu chuẩn giám sát sinh học </w:t>
            </w:r>
          </w:p>
        </w:tc>
        <w:tc>
          <w:tcPr>
            <w:tcW w:w="4110" w:type="dxa"/>
          </w:tcPr>
          <w:p w:rsidR="00D538CE" w:rsidRPr="00D420C9" w:rsidRDefault="00D538CE" w:rsidP="00EB27DC">
            <w:pPr>
              <w:autoSpaceDE w:val="0"/>
              <w:autoSpaceDN w:val="0"/>
              <w:adjustRightInd w:val="0"/>
              <w:spacing w:line="312" w:lineRule="auto"/>
              <w:jc w:val="both"/>
              <w:rPr>
                <w:color w:val="0000CC"/>
                <w:spacing w:val="-4"/>
                <w:sz w:val="24"/>
                <w:szCs w:val="24"/>
                <w:lang w:val="it-IT"/>
              </w:rPr>
            </w:pPr>
            <w:r w:rsidRPr="00D420C9">
              <w:rPr>
                <w:color w:val="0000CC"/>
                <w:spacing w:val="-4"/>
                <w:sz w:val="24"/>
                <w:szCs w:val="24"/>
                <w:lang w:val="it-IT"/>
              </w:rPr>
              <w:t>(1). Xác định được mức độ phơi nhiễm Methyl Ethyl Keton, Methyl n- Buhyl Ketone ở người lao động có tiếp xúc tại cơ sở nghiên cứu;</w:t>
            </w:r>
          </w:p>
          <w:p w:rsidR="00D538CE" w:rsidRPr="00D420C9" w:rsidRDefault="00D538CE" w:rsidP="00EB27DC">
            <w:pPr>
              <w:autoSpaceDE w:val="0"/>
              <w:autoSpaceDN w:val="0"/>
              <w:adjustRightInd w:val="0"/>
              <w:spacing w:line="312" w:lineRule="auto"/>
              <w:jc w:val="both"/>
              <w:rPr>
                <w:color w:val="0000CC"/>
                <w:spacing w:val="-4"/>
                <w:sz w:val="24"/>
                <w:szCs w:val="24"/>
                <w:lang w:val="it-IT"/>
              </w:rPr>
            </w:pPr>
            <w:r w:rsidRPr="00D420C9">
              <w:rPr>
                <w:color w:val="0000CC"/>
                <w:spacing w:val="-4"/>
                <w:sz w:val="24"/>
                <w:szCs w:val="24"/>
                <w:lang w:val="it-IT"/>
              </w:rPr>
              <w:t>(2). Xác định được mức độ nhiễm Methyl Ethyl Keton, Methyl n- Buhyl Ketone ở người lao động có tiếp xúc tại cơ sở nghiên cứu;</w:t>
            </w:r>
          </w:p>
          <w:p w:rsidR="00D538CE" w:rsidRPr="00D420C9" w:rsidRDefault="00D538CE" w:rsidP="00EB27DC">
            <w:pPr>
              <w:tabs>
                <w:tab w:val="left" w:leader="dot" w:pos="9360"/>
              </w:tabs>
              <w:spacing w:line="312" w:lineRule="auto"/>
              <w:jc w:val="both"/>
              <w:rPr>
                <w:color w:val="0000CC"/>
                <w:spacing w:val="-4"/>
                <w:sz w:val="24"/>
                <w:szCs w:val="24"/>
                <w:lang w:val="it-IT"/>
              </w:rPr>
            </w:pPr>
            <w:r w:rsidRPr="00D420C9">
              <w:rPr>
                <w:color w:val="0000CC"/>
                <w:spacing w:val="-4"/>
                <w:sz w:val="24"/>
                <w:szCs w:val="24"/>
                <w:lang w:val="it-IT"/>
              </w:rPr>
              <w:t xml:space="preserve"> (3).  Đề xuất áp dụng tiêu chuẩn giám sát sinh học cho người lao động có tiếp xúc với Methyl Ethyl Keton, Methyl n- Buhyl </w:t>
            </w:r>
            <w:r w:rsidRPr="00D420C9">
              <w:rPr>
                <w:color w:val="0000CC"/>
                <w:spacing w:val="-4"/>
                <w:sz w:val="24"/>
                <w:szCs w:val="24"/>
                <w:lang w:val="it-IT"/>
              </w:rPr>
              <w:lastRenderedPageBreak/>
              <w:t>Ketone;</w:t>
            </w:r>
          </w:p>
        </w:tc>
        <w:tc>
          <w:tcPr>
            <w:tcW w:w="6096" w:type="dxa"/>
          </w:tcPr>
          <w:p w:rsidR="00D538CE" w:rsidRPr="00D420C9" w:rsidRDefault="00D538CE" w:rsidP="00EB27DC">
            <w:pPr>
              <w:spacing w:line="312" w:lineRule="auto"/>
              <w:jc w:val="both"/>
              <w:rPr>
                <w:bCs/>
                <w:color w:val="0000CC"/>
                <w:sz w:val="24"/>
                <w:szCs w:val="24"/>
                <w:lang w:val="it-IT"/>
              </w:rPr>
            </w:pPr>
            <w:r w:rsidRPr="00D420C9">
              <w:rPr>
                <w:bCs/>
                <w:color w:val="0000CC"/>
                <w:sz w:val="24"/>
                <w:szCs w:val="24"/>
                <w:lang w:val="it-IT"/>
              </w:rPr>
              <w:lastRenderedPageBreak/>
              <w:t>(1). Báo cáo quy trình phân tích Methyl Ethyl Keton niệu và quy trình phân tích sản phẩm chuyển hóa 2,5hexanedione của Methyl n- Buhyl Ketone trong nước tiểu;</w:t>
            </w:r>
          </w:p>
          <w:p w:rsidR="00D538CE" w:rsidRPr="00D420C9" w:rsidRDefault="00D538CE" w:rsidP="00EB27DC">
            <w:pPr>
              <w:spacing w:line="312" w:lineRule="auto"/>
              <w:jc w:val="both"/>
              <w:rPr>
                <w:bCs/>
                <w:color w:val="0000CC"/>
                <w:sz w:val="24"/>
                <w:szCs w:val="24"/>
                <w:lang w:val="it-IT"/>
              </w:rPr>
            </w:pPr>
            <w:r w:rsidRPr="00D420C9">
              <w:rPr>
                <w:bCs/>
                <w:color w:val="0000CC"/>
                <w:sz w:val="24"/>
                <w:szCs w:val="24"/>
                <w:lang w:val="it-IT"/>
              </w:rPr>
              <w:t>(2). Báo cáo mức độ phơi nhiễm Methyl Ethyl Keton, Methyl n- Buhyl Ketone  ở người lao động có tiếp xúc tại cơ sở nghiên cứu;</w:t>
            </w:r>
          </w:p>
          <w:p w:rsidR="00D538CE" w:rsidRPr="00D420C9" w:rsidRDefault="00D538CE" w:rsidP="00EB27DC">
            <w:pPr>
              <w:spacing w:line="312" w:lineRule="auto"/>
              <w:jc w:val="both"/>
              <w:rPr>
                <w:bCs/>
                <w:color w:val="0000CC"/>
                <w:sz w:val="24"/>
                <w:szCs w:val="24"/>
                <w:lang w:val="it-IT"/>
              </w:rPr>
            </w:pPr>
            <w:r w:rsidRPr="00D420C9">
              <w:rPr>
                <w:bCs/>
                <w:color w:val="0000CC"/>
                <w:sz w:val="24"/>
                <w:szCs w:val="24"/>
                <w:lang w:val="it-IT"/>
              </w:rPr>
              <w:t>(3). Báo cáo mức độ nhiễm Methyl Ethyl Keton, Mythyl n- Buhyl Ketone  trong nước tiểu của người lao động tại các cơ sở nghiên cứu.</w:t>
            </w:r>
          </w:p>
          <w:p w:rsidR="00D538CE" w:rsidRPr="00D420C9" w:rsidRDefault="00D538CE" w:rsidP="00EB27DC">
            <w:pPr>
              <w:widowControl w:val="0"/>
              <w:spacing w:line="312" w:lineRule="auto"/>
              <w:jc w:val="both"/>
              <w:rPr>
                <w:bCs/>
                <w:color w:val="0000CC"/>
                <w:sz w:val="24"/>
                <w:szCs w:val="24"/>
                <w:lang w:val="it-IT"/>
              </w:rPr>
            </w:pPr>
            <w:r w:rsidRPr="00D420C9">
              <w:rPr>
                <w:bCs/>
                <w:color w:val="0000CC"/>
                <w:sz w:val="24"/>
                <w:szCs w:val="24"/>
                <w:lang w:val="it-IT"/>
              </w:rPr>
              <w:t xml:space="preserve">(4). Đề xuất áp dụng tiêu chuẩn giám sát sinh học cho người lao động có tiếp xúc với Methyl Ethyl Keton, Methyl n- </w:t>
            </w:r>
            <w:r w:rsidRPr="00D420C9">
              <w:rPr>
                <w:bCs/>
                <w:color w:val="0000CC"/>
                <w:sz w:val="24"/>
                <w:szCs w:val="24"/>
                <w:lang w:val="it-IT"/>
              </w:rPr>
              <w:lastRenderedPageBreak/>
              <w:t>Buhyl Ketone;</w:t>
            </w:r>
          </w:p>
        </w:tc>
        <w:tc>
          <w:tcPr>
            <w:tcW w:w="1417" w:type="dxa"/>
          </w:tcPr>
          <w:p w:rsidR="00D538CE" w:rsidRPr="00D420C9" w:rsidRDefault="00D538CE" w:rsidP="00EB27DC">
            <w:pPr>
              <w:spacing w:line="312" w:lineRule="auto"/>
              <w:jc w:val="center"/>
              <w:rPr>
                <w:color w:val="0000CC"/>
                <w:sz w:val="24"/>
                <w:szCs w:val="24"/>
              </w:rPr>
            </w:pPr>
            <w:r w:rsidRPr="00D420C9">
              <w:rPr>
                <w:color w:val="0000CC"/>
                <w:sz w:val="24"/>
                <w:szCs w:val="24"/>
              </w:rPr>
              <w:lastRenderedPageBreak/>
              <w:t>24 tháng</w:t>
            </w:r>
          </w:p>
        </w:tc>
      </w:tr>
      <w:tr w:rsidR="00D538CE" w:rsidRPr="004D2F71" w:rsidTr="00080433">
        <w:tc>
          <w:tcPr>
            <w:tcW w:w="646" w:type="dxa"/>
          </w:tcPr>
          <w:p w:rsidR="00D538CE" w:rsidRPr="004D2F71" w:rsidRDefault="00D538CE" w:rsidP="00080433">
            <w:pPr>
              <w:spacing w:line="312" w:lineRule="auto"/>
              <w:jc w:val="center"/>
              <w:rPr>
                <w:sz w:val="24"/>
                <w:szCs w:val="24"/>
              </w:rPr>
            </w:pPr>
            <w:r w:rsidRPr="004D2F71">
              <w:rPr>
                <w:sz w:val="24"/>
                <w:szCs w:val="24"/>
              </w:rPr>
              <w:lastRenderedPageBreak/>
              <w:t>8</w:t>
            </w:r>
          </w:p>
        </w:tc>
        <w:tc>
          <w:tcPr>
            <w:tcW w:w="2615" w:type="dxa"/>
          </w:tcPr>
          <w:p w:rsidR="00D538CE" w:rsidRPr="00D420C9" w:rsidRDefault="00D538CE" w:rsidP="00EB27DC">
            <w:pPr>
              <w:spacing w:line="312" w:lineRule="auto"/>
              <w:jc w:val="both"/>
              <w:rPr>
                <w:color w:val="0000CC"/>
                <w:sz w:val="24"/>
                <w:szCs w:val="24"/>
              </w:rPr>
            </w:pPr>
            <w:r w:rsidRPr="00D420C9">
              <w:rPr>
                <w:bCs/>
                <w:color w:val="0000CC"/>
                <w:sz w:val="24"/>
                <w:szCs w:val="24"/>
                <w:lang w:val="it-IT"/>
              </w:rPr>
              <w:t>Nghiên cứu đề xuất áp dụng chỉ số 1,6- Hexamethylene diamin (HAD) làm tiêu chuẩn giám sát sinh học đối với người lao động tiếp xúc với 1,6- Hexamethylen diisocyanate (HDI) trong các cơ sở sản xuất ô tô, xe máy</w:t>
            </w:r>
          </w:p>
        </w:tc>
        <w:tc>
          <w:tcPr>
            <w:tcW w:w="4110" w:type="dxa"/>
          </w:tcPr>
          <w:p w:rsidR="00D538CE" w:rsidRPr="00D420C9" w:rsidRDefault="00D538CE" w:rsidP="00EB27DC">
            <w:pPr>
              <w:spacing w:line="312" w:lineRule="auto"/>
              <w:jc w:val="both"/>
              <w:rPr>
                <w:bCs/>
                <w:color w:val="0000CC"/>
                <w:sz w:val="24"/>
                <w:szCs w:val="24"/>
                <w:lang w:val="it-IT"/>
              </w:rPr>
            </w:pPr>
            <w:r w:rsidRPr="00D420C9">
              <w:rPr>
                <w:bCs/>
                <w:color w:val="0000CC"/>
                <w:sz w:val="24"/>
                <w:szCs w:val="24"/>
                <w:lang w:val="it-IT"/>
              </w:rPr>
              <w:t>(1). Xác định mức độ phơi nhiễm HDI ở người lao động tại các cơ sở sản xuất ô tô, xe máy;</w:t>
            </w:r>
          </w:p>
          <w:p w:rsidR="00D538CE" w:rsidRPr="00D420C9" w:rsidRDefault="00D538CE" w:rsidP="00EB27DC">
            <w:pPr>
              <w:spacing w:line="312" w:lineRule="auto"/>
              <w:jc w:val="both"/>
              <w:rPr>
                <w:bCs/>
                <w:color w:val="0000CC"/>
                <w:sz w:val="24"/>
                <w:szCs w:val="24"/>
                <w:lang w:val="it-IT"/>
              </w:rPr>
            </w:pPr>
            <w:r w:rsidRPr="00D420C9">
              <w:rPr>
                <w:bCs/>
                <w:color w:val="0000CC"/>
                <w:sz w:val="24"/>
                <w:szCs w:val="24"/>
                <w:lang w:val="it-IT"/>
              </w:rPr>
              <w:t>(2). Xác định nồng độ chất chuyển hóa HAD trong nước tiểu của người lao động trong các cơ sở sản xuất ô tô, xe máy;</w:t>
            </w:r>
          </w:p>
          <w:p w:rsidR="00D538CE" w:rsidRPr="00D420C9" w:rsidRDefault="00D538CE" w:rsidP="00EB27DC">
            <w:pPr>
              <w:spacing w:line="312" w:lineRule="auto"/>
              <w:jc w:val="both"/>
              <w:rPr>
                <w:bCs/>
                <w:color w:val="0000CC"/>
                <w:sz w:val="24"/>
                <w:szCs w:val="24"/>
                <w:lang w:val="it-IT"/>
              </w:rPr>
            </w:pPr>
            <w:r w:rsidRPr="00D420C9">
              <w:rPr>
                <w:bCs/>
                <w:color w:val="0000CC"/>
                <w:sz w:val="24"/>
                <w:szCs w:val="24"/>
                <w:lang w:val="it-IT"/>
              </w:rPr>
              <w:t>(3). Đề xuất áp dụng chỉ số HDA làm chỉ số giám sát sinh học đối với người lao động tiếp xúc với HDI;</w:t>
            </w:r>
          </w:p>
        </w:tc>
        <w:tc>
          <w:tcPr>
            <w:tcW w:w="6096" w:type="dxa"/>
          </w:tcPr>
          <w:p w:rsidR="00D538CE" w:rsidRPr="00D420C9" w:rsidRDefault="00D538CE" w:rsidP="00EB27DC">
            <w:pPr>
              <w:spacing w:line="312" w:lineRule="auto"/>
              <w:jc w:val="both"/>
              <w:rPr>
                <w:color w:val="0000CC"/>
                <w:sz w:val="24"/>
                <w:szCs w:val="24"/>
                <w:lang w:val="it-IT"/>
              </w:rPr>
            </w:pPr>
            <w:r w:rsidRPr="00D420C9">
              <w:rPr>
                <w:color w:val="0000CC"/>
                <w:sz w:val="24"/>
                <w:szCs w:val="24"/>
                <w:lang w:val="it-IT"/>
              </w:rPr>
              <w:t>(1). Báo cáo mức độ phơi nhiễm HDI ở người lao động tại các cơ sở sản xuất ô tô, xe máy;</w:t>
            </w:r>
          </w:p>
          <w:p w:rsidR="00D538CE" w:rsidRPr="00D420C9" w:rsidRDefault="00D538CE" w:rsidP="00EB27DC">
            <w:pPr>
              <w:spacing w:line="312" w:lineRule="auto"/>
              <w:jc w:val="both"/>
              <w:rPr>
                <w:color w:val="0000CC"/>
                <w:sz w:val="24"/>
                <w:szCs w:val="24"/>
                <w:lang w:val="it-IT"/>
              </w:rPr>
            </w:pPr>
            <w:r w:rsidRPr="00D420C9">
              <w:rPr>
                <w:color w:val="0000CC"/>
                <w:sz w:val="24"/>
                <w:szCs w:val="24"/>
                <w:lang w:val="it-IT"/>
              </w:rPr>
              <w:t>(2). Báo cáo nồng độ chất chuyển hóa HAD ở người lao động trong các cơ sở sản xuất ô tô, xe máy;</w:t>
            </w:r>
          </w:p>
          <w:p w:rsidR="00D538CE" w:rsidRPr="00D420C9" w:rsidRDefault="00D538CE" w:rsidP="00EB27DC">
            <w:pPr>
              <w:spacing w:line="312" w:lineRule="auto"/>
              <w:jc w:val="both"/>
              <w:rPr>
                <w:color w:val="0000CC"/>
                <w:sz w:val="24"/>
                <w:szCs w:val="24"/>
                <w:lang w:val="it-IT"/>
              </w:rPr>
            </w:pPr>
            <w:r w:rsidRPr="00D420C9">
              <w:rPr>
                <w:color w:val="0000CC"/>
                <w:sz w:val="24"/>
                <w:szCs w:val="24"/>
                <w:lang w:val="it-IT"/>
              </w:rPr>
              <w:t>(3). Báo cáo quy trình phân tích HDA;</w:t>
            </w:r>
          </w:p>
          <w:p w:rsidR="00D538CE" w:rsidRPr="00D420C9" w:rsidRDefault="00D538CE" w:rsidP="00EB27DC">
            <w:pPr>
              <w:widowControl w:val="0"/>
              <w:spacing w:line="312" w:lineRule="auto"/>
              <w:jc w:val="both"/>
              <w:rPr>
                <w:bCs/>
                <w:color w:val="0000CC"/>
                <w:sz w:val="24"/>
                <w:szCs w:val="24"/>
                <w:lang w:val="it-IT"/>
              </w:rPr>
            </w:pPr>
            <w:r w:rsidRPr="00D420C9">
              <w:rPr>
                <w:color w:val="0000CC"/>
                <w:sz w:val="24"/>
                <w:szCs w:val="24"/>
                <w:lang w:val="it-IT"/>
              </w:rPr>
              <w:t>(4). Đề xuất áp dụng chỉ số HDA làm chỉ số giám sát sinh học đối với người lao động tiếp xúc với HDI;</w:t>
            </w:r>
          </w:p>
        </w:tc>
        <w:tc>
          <w:tcPr>
            <w:tcW w:w="1417" w:type="dxa"/>
          </w:tcPr>
          <w:p w:rsidR="00D538CE" w:rsidRPr="00D420C9" w:rsidRDefault="00D538CE" w:rsidP="00EB27DC">
            <w:pPr>
              <w:spacing w:line="312" w:lineRule="auto"/>
              <w:jc w:val="center"/>
              <w:rPr>
                <w:color w:val="0000CC"/>
                <w:sz w:val="24"/>
                <w:szCs w:val="24"/>
              </w:rPr>
            </w:pPr>
            <w:r w:rsidRPr="00D420C9">
              <w:rPr>
                <w:color w:val="0000CC"/>
                <w:sz w:val="24"/>
                <w:szCs w:val="24"/>
              </w:rPr>
              <w:t>24 tháng</w:t>
            </w:r>
          </w:p>
        </w:tc>
      </w:tr>
      <w:tr w:rsidR="00D538CE" w:rsidRPr="004D2F71" w:rsidTr="00080433">
        <w:tc>
          <w:tcPr>
            <w:tcW w:w="646" w:type="dxa"/>
          </w:tcPr>
          <w:p w:rsidR="00D538CE" w:rsidRPr="00D420C9" w:rsidRDefault="00D538CE" w:rsidP="00080433">
            <w:pPr>
              <w:spacing w:line="312" w:lineRule="auto"/>
              <w:jc w:val="center"/>
              <w:rPr>
                <w:color w:val="0000CC"/>
                <w:sz w:val="24"/>
                <w:szCs w:val="24"/>
              </w:rPr>
            </w:pPr>
          </w:p>
          <w:p w:rsidR="00D538CE" w:rsidRPr="00D420C9" w:rsidRDefault="00D538CE" w:rsidP="00080433">
            <w:pPr>
              <w:spacing w:line="312" w:lineRule="auto"/>
              <w:jc w:val="center"/>
              <w:rPr>
                <w:color w:val="0000CC"/>
                <w:sz w:val="24"/>
                <w:szCs w:val="24"/>
              </w:rPr>
            </w:pPr>
            <w:r w:rsidRPr="00D420C9">
              <w:rPr>
                <w:color w:val="0000CC"/>
                <w:sz w:val="24"/>
                <w:szCs w:val="24"/>
              </w:rPr>
              <w:t>9</w:t>
            </w:r>
          </w:p>
        </w:tc>
        <w:tc>
          <w:tcPr>
            <w:tcW w:w="2615" w:type="dxa"/>
          </w:tcPr>
          <w:p w:rsidR="00D538CE" w:rsidRPr="00D538CE" w:rsidRDefault="00D538CE" w:rsidP="00EB27DC">
            <w:pPr>
              <w:spacing w:line="312" w:lineRule="auto"/>
              <w:jc w:val="both"/>
              <w:rPr>
                <w:color w:val="0000CC"/>
                <w:sz w:val="24"/>
                <w:szCs w:val="24"/>
              </w:rPr>
            </w:pPr>
            <w:r w:rsidRPr="00D538CE">
              <w:rPr>
                <w:color w:val="0000CC"/>
                <w:sz w:val="24"/>
                <w:szCs w:val="24"/>
              </w:rPr>
              <w:t>Nghiên cứu quá trình hoàn nguyên vật liệu hấp phụ - xúc tác nano oxit kim loại trên nền than hoạt tính trong thiết bị xử lý dung môi hữu cơ</w:t>
            </w:r>
          </w:p>
        </w:tc>
        <w:tc>
          <w:tcPr>
            <w:tcW w:w="4110" w:type="dxa"/>
          </w:tcPr>
          <w:p w:rsidR="00D538CE" w:rsidRPr="00D538CE" w:rsidRDefault="00D538CE" w:rsidP="00EB27DC">
            <w:pPr>
              <w:spacing w:line="312" w:lineRule="auto"/>
              <w:jc w:val="both"/>
              <w:rPr>
                <w:color w:val="0000CC"/>
                <w:sz w:val="24"/>
                <w:szCs w:val="24"/>
              </w:rPr>
            </w:pPr>
            <w:r w:rsidRPr="00D538CE">
              <w:rPr>
                <w:color w:val="0000CC"/>
                <w:sz w:val="24"/>
                <w:szCs w:val="24"/>
              </w:rPr>
              <w:t>(1). Xây dựng được quy trình công nghệ hoàn nguyên vật liệu hấp phụ - xúc tác nano oxit kim loại trên nền than hoạt tính trong thiết bị xử lý dung môi hữu cơ;</w:t>
            </w:r>
          </w:p>
          <w:p w:rsidR="00D538CE" w:rsidRPr="00D538CE" w:rsidRDefault="00D538CE" w:rsidP="00EB27DC">
            <w:pPr>
              <w:spacing w:line="312" w:lineRule="auto"/>
              <w:jc w:val="both"/>
              <w:rPr>
                <w:color w:val="0000CC"/>
                <w:sz w:val="24"/>
                <w:szCs w:val="24"/>
              </w:rPr>
            </w:pPr>
            <w:r w:rsidRPr="00D538CE">
              <w:rPr>
                <w:color w:val="0000CC"/>
                <w:sz w:val="24"/>
                <w:szCs w:val="24"/>
              </w:rPr>
              <w:t>(2). Gia công chế tạo, thử nghiệm và đánh giá hiệu quả hoàn nguyên vật liệu hấp phụ - xúc tác nano oxit kim loại trên nền than hoạt tính trong thiết bị xử lý dung môi hữu cơ quy mô sử dụng vật liệu hấp phụ từ 100 đến 200 kg;</w:t>
            </w:r>
          </w:p>
        </w:tc>
        <w:tc>
          <w:tcPr>
            <w:tcW w:w="6096" w:type="dxa"/>
          </w:tcPr>
          <w:p w:rsidR="00D538CE" w:rsidRPr="00D538CE" w:rsidRDefault="00D538CE" w:rsidP="00EB27DC">
            <w:pPr>
              <w:spacing w:line="312" w:lineRule="auto"/>
              <w:jc w:val="both"/>
              <w:rPr>
                <w:color w:val="0000CC"/>
                <w:sz w:val="24"/>
                <w:szCs w:val="24"/>
              </w:rPr>
            </w:pPr>
            <w:r w:rsidRPr="00D538CE">
              <w:rPr>
                <w:color w:val="0000CC"/>
                <w:sz w:val="24"/>
                <w:szCs w:val="24"/>
              </w:rPr>
              <w:t>(1). Quy trình công nghệ hoàn nguyên vật liệu hấp phụ - xúc tác nano oxit kim loại trên nền than hoạt tính trong thiết bị xử lý dung môi hữu cơ;</w:t>
            </w:r>
          </w:p>
          <w:p w:rsidR="00D538CE" w:rsidRPr="00D538CE" w:rsidRDefault="00D538CE" w:rsidP="00EB27DC">
            <w:pPr>
              <w:spacing w:line="312" w:lineRule="auto"/>
              <w:jc w:val="both"/>
              <w:rPr>
                <w:color w:val="0000CC"/>
                <w:sz w:val="24"/>
                <w:szCs w:val="24"/>
              </w:rPr>
            </w:pPr>
            <w:r w:rsidRPr="00D538CE">
              <w:rPr>
                <w:color w:val="0000CC"/>
                <w:sz w:val="24"/>
                <w:szCs w:val="24"/>
              </w:rPr>
              <w:t>(2). 01 hệ thống thiết bị xử lý dung môi hữu cơ với quy mô 100 -200 kg than hoạt tính và khí thải đầu ra phải đạt QCVN 20:2009/BTNMT;</w:t>
            </w:r>
          </w:p>
          <w:p w:rsidR="00D538CE" w:rsidRPr="00D538CE" w:rsidRDefault="00D538CE" w:rsidP="00EB27DC">
            <w:pPr>
              <w:spacing w:line="312" w:lineRule="auto"/>
              <w:jc w:val="both"/>
              <w:rPr>
                <w:color w:val="0000CC"/>
                <w:sz w:val="24"/>
                <w:szCs w:val="24"/>
              </w:rPr>
            </w:pPr>
            <w:r w:rsidRPr="00D538CE">
              <w:rPr>
                <w:color w:val="0000CC"/>
                <w:sz w:val="24"/>
                <w:szCs w:val="24"/>
              </w:rPr>
              <w:t>(3). Báo cáo kết quả đánh giá hiệu quả ứng dụng hoàn nguyên vật liệu hấp phụ - xúc tác nano oxit kim loại trên nền than hoạt tính trong thiết bị xử lý dung môi hữu cơ.</w:t>
            </w:r>
          </w:p>
        </w:tc>
        <w:tc>
          <w:tcPr>
            <w:tcW w:w="1417" w:type="dxa"/>
          </w:tcPr>
          <w:p w:rsidR="00D538CE" w:rsidRPr="00D538CE" w:rsidRDefault="00D538CE" w:rsidP="00EB27DC">
            <w:pPr>
              <w:spacing w:line="312" w:lineRule="auto"/>
              <w:jc w:val="center"/>
              <w:rPr>
                <w:color w:val="0000CC"/>
                <w:sz w:val="24"/>
                <w:szCs w:val="24"/>
              </w:rPr>
            </w:pPr>
            <w:r w:rsidRPr="00D420C9">
              <w:rPr>
                <w:color w:val="0000CC"/>
                <w:sz w:val="24"/>
                <w:szCs w:val="24"/>
              </w:rPr>
              <w:t>24 tháng</w:t>
            </w:r>
          </w:p>
        </w:tc>
      </w:tr>
      <w:tr w:rsidR="00D538CE" w:rsidRPr="004D2F71" w:rsidTr="00080433">
        <w:tc>
          <w:tcPr>
            <w:tcW w:w="646" w:type="dxa"/>
          </w:tcPr>
          <w:p w:rsidR="00D538CE" w:rsidRPr="00D420C9" w:rsidRDefault="00D538CE" w:rsidP="00080433">
            <w:pPr>
              <w:spacing w:line="312" w:lineRule="auto"/>
              <w:jc w:val="center"/>
              <w:rPr>
                <w:color w:val="0000CC"/>
                <w:sz w:val="24"/>
                <w:szCs w:val="24"/>
              </w:rPr>
            </w:pPr>
            <w:r w:rsidRPr="00D420C9">
              <w:rPr>
                <w:color w:val="0000CC"/>
                <w:sz w:val="24"/>
                <w:szCs w:val="24"/>
              </w:rPr>
              <w:t>10</w:t>
            </w:r>
          </w:p>
        </w:tc>
        <w:tc>
          <w:tcPr>
            <w:tcW w:w="2615" w:type="dxa"/>
          </w:tcPr>
          <w:p w:rsidR="00D538CE" w:rsidRPr="00D538CE" w:rsidRDefault="00D538CE" w:rsidP="00EB27DC">
            <w:pPr>
              <w:spacing w:line="312" w:lineRule="auto"/>
              <w:jc w:val="both"/>
              <w:rPr>
                <w:color w:val="0000CC"/>
                <w:sz w:val="24"/>
                <w:szCs w:val="24"/>
              </w:rPr>
            </w:pPr>
            <w:r w:rsidRPr="00D538CE">
              <w:rPr>
                <w:color w:val="0000CC"/>
                <w:sz w:val="24"/>
                <w:szCs w:val="24"/>
              </w:rPr>
              <w:t xml:space="preserve">Nghiên cứu xử lý CO trong khí thải lò đốt </w:t>
            </w:r>
            <w:r w:rsidRPr="00D538CE">
              <w:rPr>
                <w:color w:val="0000CC"/>
                <w:sz w:val="24"/>
                <w:szCs w:val="24"/>
              </w:rPr>
              <w:lastRenderedPageBreak/>
              <w:t xml:space="preserve">công nghiệp bằng vật liệu xúc tác oxit kim loại trên nền chất mang gốm </w:t>
            </w:r>
          </w:p>
        </w:tc>
        <w:tc>
          <w:tcPr>
            <w:tcW w:w="4110" w:type="dxa"/>
          </w:tcPr>
          <w:p w:rsidR="00D538CE" w:rsidRPr="00D538CE" w:rsidRDefault="00D538CE" w:rsidP="00EB27DC">
            <w:pPr>
              <w:spacing w:line="312" w:lineRule="auto"/>
              <w:jc w:val="both"/>
              <w:rPr>
                <w:color w:val="0000CC"/>
                <w:sz w:val="24"/>
                <w:szCs w:val="24"/>
              </w:rPr>
            </w:pPr>
            <w:r w:rsidRPr="00D538CE">
              <w:rPr>
                <w:color w:val="0000CC"/>
                <w:sz w:val="24"/>
                <w:szCs w:val="24"/>
              </w:rPr>
              <w:lastRenderedPageBreak/>
              <w:t xml:space="preserve">(1). Xây dựng được quy trình công nghệ xử lý CO trong khí thải lò đốt công </w:t>
            </w:r>
            <w:r w:rsidRPr="00D538CE">
              <w:rPr>
                <w:color w:val="0000CC"/>
                <w:sz w:val="24"/>
                <w:szCs w:val="24"/>
              </w:rPr>
              <w:lastRenderedPageBreak/>
              <w:t>nghiệp bằng vật liệu xúc tác oxit kim loại trên nền chất mang gốm;</w:t>
            </w:r>
          </w:p>
          <w:p w:rsidR="00D538CE" w:rsidRPr="00D538CE" w:rsidRDefault="00D538CE" w:rsidP="00EB27DC">
            <w:pPr>
              <w:spacing w:line="312" w:lineRule="auto"/>
              <w:jc w:val="both"/>
              <w:rPr>
                <w:color w:val="0000CC"/>
                <w:sz w:val="24"/>
                <w:szCs w:val="24"/>
                <w:lang w:val="fr-FR"/>
              </w:rPr>
            </w:pPr>
            <w:r w:rsidRPr="00D538CE">
              <w:rPr>
                <w:color w:val="0000CC"/>
                <w:sz w:val="24"/>
                <w:szCs w:val="24"/>
              </w:rPr>
              <w:t>(2). Thiết kế, chế tạo và ứng dụng thực tế 01 hệ thống xử lý CO trong khí thải lò đốt công nghiệp bằng thiết bị hấp phụ sử dụng vật liệu xúc tác oxit kim loại trên nền chất mang gốm công suất 5000m</w:t>
            </w:r>
            <w:r w:rsidRPr="00D538CE">
              <w:rPr>
                <w:color w:val="0000CC"/>
                <w:sz w:val="24"/>
                <w:szCs w:val="24"/>
                <w:vertAlign w:val="superscript"/>
              </w:rPr>
              <w:t>3</w:t>
            </w:r>
            <w:r w:rsidRPr="00D538CE">
              <w:rPr>
                <w:color w:val="0000CC"/>
                <w:sz w:val="24"/>
                <w:szCs w:val="24"/>
              </w:rPr>
              <w:t>;</w:t>
            </w:r>
          </w:p>
        </w:tc>
        <w:tc>
          <w:tcPr>
            <w:tcW w:w="6096" w:type="dxa"/>
          </w:tcPr>
          <w:p w:rsidR="00D538CE" w:rsidRPr="00D538CE" w:rsidRDefault="00D538CE" w:rsidP="00EB27DC">
            <w:pPr>
              <w:spacing w:line="312" w:lineRule="auto"/>
              <w:jc w:val="both"/>
              <w:rPr>
                <w:color w:val="0000CC"/>
                <w:sz w:val="24"/>
                <w:szCs w:val="24"/>
              </w:rPr>
            </w:pPr>
            <w:r w:rsidRPr="00D538CE">
              <w:rPr>
                <w:color w:val="0000CC"/>
                <w:sz w:val="24"/>
                <w:szCs w:val="24"/>
              </w:rPr>
              <w:lastRenderedPageBreak/>
              <w:t xml:space="preserve">(1). Quy trình và kèm theo hưỡng dẫn thiết kế chế tạo công nghệ xử lý CO trong khí thải lò đốt công nghiệp bằng vật </w:t>
            </w:r>
            <w:r w:rsidRPr="00D538CE">
              <w:rPr>
                <w:color w:val="0000CC"/>
                <w:sz w:val="24"/>
                <w:szCs w:val="24"/>
              </w:rPr>
              <w:lastRenderedPageBreak/>
              <w:t>liệu xúc tác oxit kim loại trên nền chất mang gốm;</w:t>
            </w:r>
          </w:p>
          <w:p w:rsidR="00D538CE" w:rsidRPr="00D538CE" w:rsidRDefault="00D538CE" w:rsidP="00EB27DC">
            <w:pPr>
              <w:spacing w:line="312" w:lineRule="auto"/>
              <w:jc w:val="both"/>
              <w:rPr>
                <w:color w:val="0000CC"/>
                <w:sz w:val="24"/>
                <w:szCs w:val="24"/>
              </w:rPr>
            </w:pPr>
            <w:r w:rsidRPr="00D538CE">
              <w:rPr>
                <w:color w:val="0000CC"/>
                <w:sz w:val="24"/>
                <w:szCs w:val="24"/>
              </w:rPr>
              <w:t>(2). Thiết bị hấp phụ sử dụng vật liệu xúc tác oxit kim loại trên nền chất mang gốm công suất 5000m3;</w:t>
            </w:r>
          </w:p>
          <w:p w:rsidR="00D538CE" w:rsidRPr="00D538CE" w:rsidRDefault="00D538CE" w:rsidP="00EB27DC">
            <w:pPr>
              <w:spacing w:line="312" w:lineRule="auto"/>
              <w:jc w:val="both"/>
              <w:rPr>
                <w:color w:val="0000CC"/>
                <w:sz w:val="24"/>
                <w:szCs w:val="24"/>
              </w:rPr>
            </w:pPr>
            <w:r w:rsidRPr="00D538CE">
              <w:rPr>
                <w:color w:val="0000CC"/>
                <w:sz w:val="24"/>
                <w:szCs w:val="24"/>
              </w:rPr>
              <w:t>(3). Hệ thống xử lý CO trong khí thải lò đốt công nghiệp bằng thiết bị hấp phụ sử dụng vật liệu xúc tác oxit kim loại trên nền chất mang gốm công suất 5000m3, bảo đảm tieu chuẩn khí thải theo QCVN 20:2009/BTNMT;</w:t>
            </w:r>
          </w:p>
          <w:p w:rsidR="00D538CE" w:rsidRPr="00D538CE" w:rsidRDefault="00D538CE" w:rsidP="00EB27DC">
            <w:pPr>
              <w:spacing w:line="312" w:lineRule="auto"/>
              <w:jc w:val="both"/>
              <w:rPr>
                <w:color w:val="0000CC"/>
                <w:sz w:val="24"/>
                <w:szCs w:val="24"/>
                <w:lang w:val="it-IT"/>
              </w:rPr>
            </w:pPr>
            <w:r w:rsidRPr="00D538CE">
              <w:rPr>
                <w:color w:val="0000CC"/>
                <w:sz w:val="24"/>
                <w:szCs w:val="24"/>
              </w:rPr>
              <w:t>(4). Báo cáo kết quả hiệu quả xử lý khí thải CO của hệ thống ứng dụng thực tế.</w:t>
            </w:r>
          </w:p>
        </w:tc>
        <w:tc>
          <w:tcPr>
            <w:tcW w:w="1417" w:type="dxa"/>
          </w:tcPr>
          <w:p w:rsidR="00D538CE" w:rsidRPr="004D2F71" w:rsidRDefault="00D538CE" w:rsidP="00EB27DC">
            <w:pPr>
              <w:spacing w:line="312" w:lineRule="auto"/>
              <w:jc w:val="center"/>
              <w:rPr>
                <w:sz w:val="24"/>
                <w:szCs w:val="24"/>
              </w:rPr>
            </w:pPr>
            <w:r w:rsidRPr="00D420C9">
              <w:rPr>
                <w:color w:val="0000CC"/>
                <w:sz w:val="24"/>
                <w:szCs w:val="24"/>
              </w:rPr>
              <w:lastRenderedPageBreak/>
              <w:t>24 tháng</w:t>
            </w:r>
          </w:p>
        </w:tc>
      </w:tr>
    </w:tbl>
    <w:p w:rsidR="008D2C40" w:rsidRDefault="008D2C40"/>
    <w:sectPr w:rsidR="008D2C40" w:rsidSect="00AF501B">
      <w:pgSz w:w="16840" w:h="11907" w:orient="landscape" w:code="9"/>
      <w:pgMar w:top="1418"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AF501B"/>
    <w:rsid w:val="00097662"/>
    <w:rsid w:val="003707A5"/>
    <w:rsid w:val="004165CD"/>
    <w:rsid w:val="007835D6"/>
    <w:rsid w:val="00793DE0"/>
    <w:rsid w:val="008531DF"/>
    <w:rsid w:val="008D2C40"/>
    <w:rsid w:val="009002B5"/>
    <w:rsid w:val="00951AED"/>
    <w:rsid w:val="00986F6C"/>
    <w:rsid w:val="009B4492"/>
    <w:rsid w:val="00A84529"/>
    <w:rsid w:val="00A96B65"/>
    <w:rsid w:val="00AF501B"/>
    <w:rsid w:val="00B55E10"/>
    <w:rsid w:val="00C36C99"/>
    <w:rsid w:val="00CF6E2F"/>
    <w:rsid w:val="00D420C9"/>
    <w:rsid w:val="00D538CE"/>
    <w:rsid w:val="00F842A6"/>
    <w:rsid w:val="00FE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1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F501B"/>
    <w:pPr>
      <w:keepNext/>
      <w:tabs>
        <w:tab w:val="left" w:pos="720"/>
      </w:tabs>
      <w:jc w:val="right"/>
      <w:outlineLvl w:val="0"/>
    </w:pPr>
    <w:rPr>
      <w:i/>
      <w:iCs/>
    </w:rPr>
  </w:style>
  <w:style w:type="paragraph" w:styleId="Heading2">
    <w:name w:val="heading 2"/>
    <w:basedOn w:val="Normal"/>
    <w:next w:val="Normal"/>
    <w:link w:val="Heading2Char"/>
    <w:qFormat/>
    <w:rsid w:val="00AF501B"/>
    <w:pPr>
      <w:keepNext/>
      <w:tabs>
        <w:tab w:val="left" w:pos="720"/>
      </w:tabs>
      <w:jc w:val="both"/>
      <w:outlineLvl w:val="1"/>
    </w:pPr>
    <w:rPr>
      <w:bCs/>
      <w:i/>
      <w:iCs/>
    </w:rPr>
  </w:style>
  <w:style w:type="paragraph" w:styleId="Heading3">
    <w:name w:val="heading 3"/>
    <w:basedOn w:val="Normal"/>
    <w:next w:val="Normal"/>
    <w:link w:val="Heading3Char"/>
    <w:qFormat/>
    <w:rsid w:val="00AF501B"/>
    <w:pPr>
      <w:keepNext/>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01B"/>
    <w:rPr>
      <w:rFonts w:ascii="Times New Roman" w:eastAsia="Times New Roman" w:hAnsi="Times New Roman" w:cs="Times New Roman"/>
      <w:i/>
      <w:iCs/>
      <w:sz w:val="28"/>
      <w:szCs w:val="28"/>
    </w:rPr>
  </w:style>
  <w:style w:type="character" w:customStyle="1" w:styleId="Heading2Char">
    <w:name w:val="Heading 2 Char"/>
    <w:basedOn w:val="DefaultParagraphFont"/>
    <w:link w:val="Heading2"/>
    <w:rsid w:val="00AF501B"/>
    <w:rPr>
      <w:rFonts w:ascii="Times New Roman" w:eastAsia="Times New Roman" w:hAnsi="Times New Roman" w:cs="Times New Roman"/>
      <w:bCs/>
      <w:i/>
      <w:iCs/>
      <w:sz w:val="28"/>
      <w:szCs w:val="28"/>
    </w:rPr>
  </w:style>
  <w:style w:type="character" w:customStyle="1" w:styleId="Heading3Char">
    <w:name w:val="Heading 3 Char"/>
    <w:basedOn w:val="DefaultParagraphFont"/>
    <w:link w:val="Heading3"/>
    <w:rsid w:val="00AF501B"/>
    <w:rPr>
      <w:rFonts w:ascii="Times New Roman" w:eastAsia="Times New Roman" w:hAnsi="Times New Roman" w:cs="Times New Roman"/>
      <w:b/>
      <w:sz w:val="26"/>
      <w:szCs w:val="26"/>
    </w:rPr>
  </w:style>
  <w:style w:type="paragraph" w:styleId="BodyText">
    <w:name w:val="Body Text"/>
    <w:basedOn w:val="Normal"/>
    <w:link w:val="BodyTextChar"/>
    <w:rsid w:val="00AF501B"/>
    <w:pPr>
      <w:jc w:val="center"/>
    </w:pPr>
    <w:rPr>
      <w:rFonts w:ascii=".VnTimeH" w:hAnsi=".VnTimeH"/>
      <w:b/>
      <w:bCs/>
      <w:sz w:val="26"/>
      <w:szCs w:val="24"/>
    </w:rPr>
  </w:style>
  <w:style w:type="character" w:customStyle="1" w:styleId="BodyTextChar">
    <w:name w:val="Body Text Char"/>
    <w:basedOn w:val="DefaultParagraphFont"/>
    <w:link w:val="BodyText"/>
    <w:rsid w:val="00AF501B"/>
    <w:rPr>
      <w:rFonts w:ascii=".VnTimeH" w:eastAsia="Times New Roman" w:hAnsi=".VnTimeH" w:cs="Times New Roman"/>
      <w:b/>
      <w:bCs/>
      <w:sz w:val="26"/>
      <w:szCs w:val="24"/>
    </w:rPr>
  </w:style>
  <w:style w:type="character" w:customStyle="1" w:styleId="apple-converted-space">
    <w:name w:val="apple-converted-space"/>
    <w:basedOn w:val="DefaultParagraphFont"/>
    <w:rsid w:val="00AF50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9CB3C-6977-469A-938E-FB6367F7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Hoang Mai</dc:creator>
  <cp:lastModifiedBy>Xuan Dai</cp:lastModifiedBy>
  <cp:revision>2</cp:revision>
  <cp:lastPrinted>2018-06-05T06:18:00Z</cp:lastPrinted>
  <dcterms:created xsi:type="dcterms:W3CDTF">2018-06-05T09:34:00Z</dcterms:created>
  <dcterms:modified xsi:type="dcterms:W3CDTF">2018-06-05T09:34:00Z</dcterms:modified>
</cp:coreProperties>
</file>